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26"/>
          <w:szCs w:val="26"/>
        </w:rPr>
        <w:t>КАРАЧАЕВО-ЧЕРКЕССКАЯ РЕСПУБЛИКА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26"/>
          <w:szCs w:val="26"/>
        </w:rPr>
        <w:t>УРУПСКИЙ МУНИЦИПАЛЬНЫЙ РАЙОН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26"/>
          <w:szCs w:val="26"/>
        </w:rPr>
        <w:t>АДМИНИСТРАЦИЯ КУРДЖИНОВСКОГО СЕЛЬСКОГО ПОСЕЛЕНИЯ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>
      <w:pPr>
        <w:pStyle w:val="style0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  <w:t>26.09. 2013                            с. Курджиново                                   № 99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center"/>
      </w:pPr>
      <w:r>
        <w:rPr>
          <w:rFonts w:ascii="Times New Roman" w:hAnsi="Times New Roman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Перевод жилого помещения в нежилое и нежилого в жилое»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В соответствии с Федеральным законом  от 06.10.2003 № 131-ФЗ «Об общих принципах организации местного самоуправления в Российской Федерации, руководствуясь  Федеральным законом от 27.07.2010 № 2010- ФЗ «Об  организации предоставления  государственных и муниципальных услуг», и на   основании Устава Курджиновского сельского поселения Урупского муниципального района Карачаево-Черкесской Республики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1. Утвердить Административный регламент предоставления муниципальной услуги «Перевод жилого помещения в нежилое и нежилого в жилое» согласно приложению.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2. Опубликовать  настоящее постановление в газете «Новости Урупа»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 в  установленном порядке.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И.о. главы администрации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Курджиновского сельского поселения                                   Т.Ч. Трухина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</w:t>
      </w:r>
      <w:bookmarkStart w:id="0" w:name="__DdeLink__767_218184945"/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>Приложение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>Курджиновского сельского поселения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>
          <w:rFonts w:ascii="Times New Roman" w:cs="Times New Roman" w:eastAsia="Times New Roman" w:hAnsi="Times New Roman"/>
          <w:b w:val="false"/>
          <w:bCs w:val="false"/>
          <w:sz w:val="24"/>
          <w:szCs w:val="24"/>
        </w:rPr>
        <w:t xml:space="preserve">от 26. 09.2013 №  99 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АДМИНИСТРАТИВНЫЙ РЕГЛАМЕНТ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«Перевод жилого помещения в нежилое и нежилого в жилое»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ОБЩИЕ ПОЛОЖЕНИЯ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</w:rPr>
        <w:t>Административный регламент по предоставлению муниципальной услуги «Перевод жилого помещения в нежилое и нежилого в жилое»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- муниципальная услуга) </w:t>
      </w:r>
      <w:r>
        <w:rPr>
          <w:rFonts w:ascii="Times New Roman" w:cs="Times New Roman" w:eastAsia="Times New Roman" w:hAnsi="Times New Roman"/>
          <w:sz w:val="28"/>
          <w:szCs w:val="28"/>
        </w:rPr>
        <w:t>разработан в целях повышения качества исполнения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администрации Курджиновского сельского поселения Урупского муниципального района Карачаево-Черкесской Республики (далее – администрация Курджиновского сельского поселения) при предоставлении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Предметом регулирования административного регламента предоставления муниципальной услуги «Перевод жилого помещения в нежилое и нежилого в жилое» (</w:t>
      </w:r>
      <w:r>
        <w:rPr>
          <w:rFonts w:ascii="Times New Roman" w:eastAsia="Times New Roman" w:hAnsi="Times New Roman"/>
          <w:sz w:val="28"/>
          <w:szCs w:val="28"/>
        </w:rPr>
        <w:t>далее – Административный регламент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cs="Times New Roman" w:eastAsia="Times New Roman" w:hAnsi="Times New Roman"/>
          <w:sz w:val="28"/>
          <w:szCs w:val="28"/>
        </w:rPr>
        <w:t>прием заявлений граждан, а также организация их рассмотрения и подготовка ответа.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1.2. Круг заявителей на право получения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К категории заявителей на право получения муниципальной услуги относятся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физические лица, юридические лица, индивидуальные предприниматели, являющиеся собственниками жилых и нежилых помещений, находящихся на территории Курджиновского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color w:val="000000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1.3. Требования к порядку информирования (консультирования) о порядке предоставлении муниципальной услуги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tbl>
      <w:tblPr>
        <w:jc w:val="left"/>
        <w:tblInd w:type="dxa" w:w="166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4583"/>
        <w:gridCol w:w="4767"/>
      </w:tblGrid>
      <w:tr>
        <w:trPr>
          <w:cantSplit w:val="false"/>
        </w:trPr>
        <w:tc>
          <w:tcPr>
            <w:tcW w:type="dxa" w:w="458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4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Администрации</w:t>
            </w:r>
          </w:p>
        </w:tc>
        <w:tc>
          <w:tcPr>
            <w:tcW w:type="dxa" w:w="4767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369271, с. Курджиново, Урупского района, Карачаево-Черкесской Республики, </w:t>
              <w:br/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Шоссейная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310</w:t>
            </w:r>
          </w:p>
        </w:tc>
      </w:tr>
      <w:tr>
        <w:trPr>
          <w:cantSplit w:val="false"/>
        </w:trPr>
        <w:tc>
          <w:tcPr>
            <w:tcW w:type="dxa" w:w="4583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4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type="dxa" w:w="4767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8:00 до 16:12 ч.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Выходные дни: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12:00 до 13:00ч.</w:t>
            </w:r>
          </w:p>
        </w:tc>
      </w:tr>
      <w:tr>
        <w:trPr>
          <w:cantSplit w:val="false"/>
        </w:trPr>
        <w:tc>
          <w:tcPr>
            <w:tcW w:type="dxa" w:w="4583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4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График приёма граждан</w:t>
            </w:r>
          </w:p>
        </w:tc>
        <w:tc>
          <w:tcPr>
            <w:tcW w:type="dxa" w:w="4767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Приёмные дни: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Вторник,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9:00 до 12:00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8:30 до 12:00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9:00 до 12:00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8:30 до 12:00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13:00 до 15:00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13:00 до 16:00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перерыв с 12:00 до 13:00 ч.</w:t>
            </w:r>
          </w:p>
        </w:tc>
      </w:tr>
      <w:tr>
        <w:trPr>
          <w:trHeight w:hRule="atLeast" w:val="432"/>
          <w:cantSplit w:val="false"/>
        </w:trPr>
        <w:tc>
          <w:tcPr>
            <w:tcW w:type="dxa" w:w="4583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4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type="dxa" w:w="4767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8(87876)4-14-54</w:t>
            </w:r>
          </w:p>
        </w:tc>
      </w:tr>
      <w:tr>
        <w:trPr>
          <w:trHeight w:hRule="atLeast" w:val="1718"/>
          <w:cantSplit w:val="false"/>
        </w:trPr>
        <w:tc>
          <w:tcPr>
            <w:tcW w:type="dxa" w:w="4583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4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web-сайта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type="dxa" w:w="4767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kyrdjinovo- sp.ru</w:t>
            </w:r>
          </w:p>
        </w:tc>
      </w:tr>
      <w:tr>
        <w:trPr>
          <w:cantSplit w:val="false"/>
        </w:trPr>
        <w:tc>
          <w:tcPr>
            <w:tcW w:type="dxa" w:w="4583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4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type="dxa" w:w="4767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admkurdjinovo@yandex.ru</w:t>
            </w:r>
          </w:p>
        </w:tc>
      </w:tr>
    </w:tbl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1.3.1. Порядок информирования о правилах предоставления муниципальной услуги: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Информирование о муниципальной услуге, процедуре ее предоставления осуществляется:</w:t>
      </w:r>
    </w:p>
    <w:p>
      <w:pPr>
        <w:pStyle w:val="style65"/>
        <w:numPr>
          <w:ilvl w:val="0"/>
          <w:numId w:val="3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специалистами администрации;</w:t>
      </w:r>
    </w:p>
    <w:p>
      <w:pPr>
        <w:pStyle w:val="style65"/>
        <w:numPr>
          <w:ilvl w:val="0"/>
          <w:numId w:val="3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помощи средств телефонной связи, электронной почты;</w:t>
      </w:r>
    </w:p>
    <w:p>
      <w:pPr>
        <w:pStyle w:val="style65"/>
        <w:numPr>
          <w:ilvl w:val="0"/>
          <w:numId w:val="3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получения информации о муниципальной услуге, процедуре ее предоставления и ходе предоставления, заинтересованные лица вправе обращаться:</w:t>
      </w:r>
    </w:p>
    <w:p>
      <w:pPr>
        <w:pStyle w:val="style65"/>
        <w:numPr>
          <w:ilvl w:val="0"/>
          <w:numId w:val="4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устной форме лично или по телефону к специалисту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ответственному за предоставление услуги;</w:t>
      </w:r>
    </w:p>
    <w:p>
      <w:pPr>
        <w:pStyle w:val="style65"/>
        <w:numPr>
          <w:ilvl w:val="0"/>
          <w:numId w:val="4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письменной форме по адресу электронной почты;</w:t>
      </w:r>
    </w:p>
    <w:p>
      <w:pPr>
        <w:pStyle w:val="style65"/>
        <w:numPr>
          <w:ilvl w:val="0"/>
          <w:numId w:val="4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письменной форме лично, или почтой в адрес администрации.</w:t>
      </w:r>
    </w:p>
    <w:p>
      <w:pPr>
        <w:pStyle w:val="style65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1.3.2. Порядок получения информации заявителями по вопросам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Информирование заявителей проводится в двух формах: устное и письменное.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корректной форме информируют обратившихся граждан по интересующим их вопросам. Ответ на телефонный звонок начинается с информации о наименовании органа, в который поступил звонок, и фамилии специалиста, принявшего телефонный звонок.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случае если для подготовки ответа требуется дополнительное изучение вопроса и продолжительное время для этого, специалист, осуществляющий устное информирование, предлагает направить обращение о предоставлении письменной информации, либо назначает другое удобное для заинтересованного лица время для устного информирования.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  письменной информации о предоставлении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 готовится в течение 30 дней со дня регистрации письменного обращения.</w:t>
      </w:r>
    </w:p>
    <w:p>
      <w:pPr>
        <w:pStyle w:val="style0"/>
        <w:tabs>
          <w:tab w:leader="none" w:pos="709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существу, который:</w:t>
      </w:r>
    </w:p>
    <w:p>
      <w:pPr>
        <w:pStyle w:val="style65"/>
        <w:numPr>
          <w:ilvl w:val="0"/>
          <w:numId w:val="1"/>
        </w:numPr>
        <w:tabs>
          <w:tab w:leader="none" w:pos="5066" w:val="left"/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подписывается Главой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либо заместителем Главы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поселения;</w:t>
      </w:r>
    </w:p>
    <w:p>
      <w:pPr>
        <w:pStyle w:val="style65"/>
        <w:numPr>
          <w:ilvl w:val="0"/>
          <w:numId w:val="1"/>
        </w:numPr>
        <w:tabs>
          <w:tab w:leader="none" w:pos="5066" w:val="left"/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должен содержать фамилию, инициалы и номер телефона исполнителя;</w:t>
      </w:r>
    </w:p>
    <w:p>
      <w:pPr>
        <w:pStyle w:val="style65"/>
        <w:numPr>
          <w:ilvl w:val="0"/>
          <w:numId w:val="1"/>
        </w:numPr>
        <w:tabs>
          <w:tab w:leader="none" w:pos="5066" w:val="left"/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направляется по адресу, указанному в обращении;</w:t>
      </w:r>
    </w:p>
    <w:p>
      <w:pPr>
        <w:pStyle w:val="style65"/>
        <w:numPr>
          <w:ilvl w:val="0"/>
          <w:numId w:val="1"/>
        </w:numPr>
        <w:tabs>
          <w:tab w:leader="none" w:pos="5066" w:val="left"/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информация о фамилии и адресе отсутствует в обращении, письменный ответ не дается.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1.4.Консультации по вопросам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Консультации по вопросам предоставления муниципальной услуги осуществляются сотрудниками, исполняющими настоящую муниципальную услугу в соответствии с должностными обязанностями, при личном обращении, письменном обращении, по телефону.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СТАНДАРТ ПРЕДОСТАВЛЕНИЯ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2.1 Наименование муниципальной услуги: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«Перевод жилого помещения в нежилое и нежилого в жилое»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2.2. Наименование муниципального органа, предоставляющего муниципальную услугу: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Администрация Курджиновского сельского поселения Урупского муниципального района Карачаево-Черкесской Республики.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2.3. Результат предоставления муниципальной услуги:</w:t>
      </w:r>
    </w:p>
    <w:p>
      <w:pPr>
        <w:pStyle w:val="style65"/>
        <w:numPr>
          <w:ilvl w:val="0"/>
          <w:numId w:val="14"/>
        </w:numPr>
        <w:tabs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выдача разрешения на перевод жилого (нежилого) помещения в нежилое (жилое) помещение;</w:t>
      </w:r>
    </w:p>
    <w:p>
      <w:pPr>
        <w:pStyle w:val="style65"/>
        <w:numPr>
          <w:ilvl w:val="0"/>
          <w:numId w:val="14"/>
        </w:numPr>
        <w:tabs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отказ в переводе жилого (нежилого) помещения в нежилое (жилое) помещение.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shd w:fill="FFFFFF" w:val="clear"/>
        </w:rPr>
        <w:t xml:space="preserve">2.4.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Срок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Срок предоставления муниципальной услуги составляет 45 дней, исчисляемых со дня регистрации заявления с документами, необходимыми для предоставления муниципальной услуги в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2.5. Отношения, возникающие в связи с предоставлением муниципальной услуги регулируются следующими нормативными правовыми актами: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Конституция Российской Федерации от 12.12.1993 года;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Градостроительный кодекс Российской Федерации;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Жилищный кодекс Российской Федерации;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27.07.2006 №152-ФЗ «О персональных данных»;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02.05.2006 №59-ФЗ «О порядке обращения граждан Российской Федерации»;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Постановление Правительства Российской Федерации от 10.08.2005 г. №502 «Об утверждении формы уведомления о переводе (отказе в переводе) жилого (нежилого) помещения в нежилое (жилое) помещение» (Собрание законодательства РФ, 15.08.2005, № 33, ст. 3430);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;</w:t>
      </w:r>
    </w:p>
    <w:p>
      <w:pPr>
        <w:pStyle w:val="style65"/>
        <w:numPr>
          <w:ilvl w:val="0"/>
          <w:numId w:val="5"/>
        </w:numPr>
        <w:tabs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Закон Карачаево-Черкесской Республики № 30-РЗ от 25.10.2004 «О местном самоуправлении в Карачаево-Черкесской Республике»;</w:t>
      </w:r>
    </w:p>
    <w:p>
      <w:pPr>
        <w:pStyle w:val="style65"/>
        <w:numPr>
          <w:ilvl w:val="0"/>
          <w:numId w:val="5"/>
        </w:numPr>
        <w:tabs>
          <w:tab w:leader="none" w:pos="4640" w:val="left"/>
          <w:tab w:leader="none" w:pos="5774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Урупского муниципального района Карачаево-Черкесской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>
      <w:pPr>
        <w:pStyle w:val="style65"/>
        <w:numPr>
          <w:ilvl w:val="0"/>
          <w:numId w:val="2"/>
        </w:numPr>
        <w:tabs>
          <w:tab w:leader="none" w:pos="548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заявление о получении муниципальной услуги (Приложение № 1);</w:t>
      </w:r>
    </w:p>
    <w:p>
      <w:pPr>
        <w:pStyle w:val="style65"/>
        <w:numPr>
          <w:ilvl w:val="0"/>
          <w:numId w:val="2"/>
        </w:numPr>
        <w:tabs>
          <w:tab w:leader="none" w:pos="5201" w:val="left"/>
          <w:tab w:leader="none" w:pos="548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документ, удостоверяющий личность;</w:t>
      </w:r>
    </w:p>
    <w:p>
      <w:pPr>
        <w:pStyle w:val="style65"/>
        <w:numPr>
          <w:ilvl w:val="0"/>
          <w:numId w:val="2"/>
        </w:numPr>
        <w:tabs>
          <w:tab w:leader="none" w:pos="548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правоустанавливающий документ на недвижимое имущество, права на который не зарегистрированы в Едином государственном реестре прав на недвижимое имущество и сделок с ним;</w:t>
      </w:r>
    </w:p>
    <w:p>
      <w:pPr>
        <w:pStyle w:val="style65"/>
        <w:numPr>
          <w:ilvl w:val="0"/>
          <w:numId w:val="2"/>
        </w:numPr>
        <w:tabs>
          <w:tab w:leader="none" w:pos="5201" w:val="left"/>
          <w:tab w:leader="none" w:pos="548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>
      <w:pPr>
        <w:pStyle w:val="style65"/>
        <w:numPr>
          <w:ilvl w:val="0"/>
          <w:numId w:val="2"/>
        </w:numPr>
        <w:tabs>
          <w:tab w:leader="none" w:pos="5201" w:val="left"/>
          <w:tab w:leader="none" w:pos="548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поэтажный план дома, в котором находится переводимое помещение;</w:t>
      </w:r>
    </w:p>
    <w:p>
      <w:pPr>
        <w:pStyle w:val="style65"/>
        <w:numPr>
          <w:ilvl w:val="0"/>
          <w:numId w:val="2"/>
        </w:numPr>
        <w:tabs>
          <w:tab w:leader="none" w:pos="5201" w:val="left"/>
          <w:tab w:leader="none" w:pos="548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Заявитель вправе представить дополнительные документы для обоснования своих требований.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Заявитель должен самостоятельно осуществлять действия, в том числе согласования, по услугам, которые являются необходимыми и обязательными для получения муниципальной услуги.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2.7. Перечень документов, необходимых для предоставления муниципальной услуги, которые находятся в распоряжении федеральных органов исполнительной власти и  которые заявитель вправе представить по собственной инициативе: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1)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правоустанавливающий документ на недвижимое имущество, права на который  зарегистрированы в Едином государственном реестре прав на недвижимое имущество и сделок с ним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2.7.1. От заявителя запрещается (п.1. и п.2. ст.7 Федерального закона №210-ФЗ от 27.07.2010г.) требовать:</w:t>
      </w:r>
    </w:p>
    <w:p>
      <w:pPr>
        <w:pStyle w:val="style65"/>
        <w:numPr>
          <w:ilvl w:val="0"/>
          <w:numId w:val="6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65"/>
        <w:numPr>
          <w:ilvl w:val="0"/>
          <w:numId w:val="6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>
      <w:pPr>
        <w:pStyle w:val="style65"/>
        <w:numPr>
          <w:ilvl w:val="0"/>
          <w:numId w:val="15"/>
        </w:numPr>
        <w:tabs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представление заявителем документов, содержащих противоречивые сведения;</w:t>
      </w:r>
    </w:p>
    <w:p>
      <w:pPr>
        <w:pStyle w:val="style65"/>
        <w:numPr>
          <w:ilvl w:val="0"/>
          <w:numId w:val="15"/>
        </w:numPr>
        <w:tabs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2.9. Перечень оснований для приостановления или отказа в предоставлении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2.9.1. Основания для приостановления предоставления муниципальной услуги: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1) предоставление заявителем документов, содержащих ошибки;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2) заявление подано лицом, не уполномоченным совершать такого рода действия;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отсутствие документов, предусмотренных п.2.6 настоящего Административного регламента, или представление документов не в полном объеме.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2.9.2.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Основания для отказа предоставления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услуги:</w:t>
      </w:r>
    </w:p>
    <w:p>
      <w:pPr>
        <w:pStyle w:val="style65"/>
        <w:numPr>
          <w:ilvl w:val="0"/>
          <w:numId w:val="7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обнаружение недостоверных сведений в предоставленных заявителем документах;</w:t>
      </w:r>
    </w:p>
    <w:p>
      <w:pPr>
        <w:pStyle w:val="style65"/>
        <w:numPr>
          <w:ilvl w:val="0"/>
          <w:numId w:val="7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обращение с заявлением лица, не относящегося к категории заявителей;</w:t>
      </w:r>
    </w:p>
    <w:p>
      <w:pPr>
        <w:pStyle w:val="style65"/>
        <w:numPr>
          <w:ilvl w:val="0"/>
          <w:numId w:val="7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несоблюдение предусмотренных статьей 22 Жилищного кодекса условий перевода помещений;</w:t>
      </w:r>
    </w:p>
    <w:p>
      <w:pPr>
        <w:pStyle w:val="style65"/>
        <w:numPr>
          <w:ilvl w:val="0"/>
          <w:numId w:val="7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несоответствие проекта переустройства и (или) перепланировки переводимого помещения требованиям действующего законодательства.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2.10. Муниципальная услуга предоставляется на бесплатной основе.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2.11. Максимальный срок ожидания в очереди:</w:t>
      </w:r>
    </w:p>
    <w:p>
      <w:pPr>
        <w:pStyle w:val="style65"/>
        <w:numPr>
          <w:ilvl w:val="0"/>
          <w:numId w:val="16"/>
        </w:numPr>
        <w:tabs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подаче документов на получение муниципальной услуги - 30 минут;</w:t>
      </w:r>
    </w:p>
    <w:p>
      <w:pPr>
        <w:pStyle w:val="style65"/>
        <w:numPr>
          <w:ilvl w:val="0"/>
          <w:numId w:val="16"/>
        </w:numPr>
        <w:tabs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получении результата предоставления муниципальной услуги - 30 минут.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2.12. Требования к местам предоставления муниципальной услуги:</w:t>
      </w:r>
    </w:p>
    <w:p>
      <w:pPr>
        <w:pStyle w:val="style65"/>
        <w:numPr>
          <w:ilvl w:val="0"/>
          <w:numId w:val="8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помещение, в котором осуществляется прием граждан, должно обеспечивать комфортное расположение граждан и должностного лица администрации;</w:t>
      </w:r>
    </w:p>
    <w:p>
      <w:pPr>
        <w:pStyle w:val="style65"/>
        <w:numPr>
          <w:ilvl w:val="0"/>
          <w:numId w:val="8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места предоставления муниципальной услуги должны быть оборудованы  средствами противопожарной сигнализации, столами, стульями, канцелярскими принадлежностями, табличками с указанием должности сотрудника, его фамилии, имени, отчества, времени приёма;</w:t>
      </w:r>
    </w:p>
    <w:p>
      <w:pPr>
        <w:pStyle w:val="style65"/>
        <w:numPr>
          <w:ilvl w:val="0"/>
          <w:numId w:val="8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пользования;</w:t>
      </w:r>
    </w:p>
    <w:p>
      <w:pPr>
        <w:pStyle w:val="style65"/>
        <w:numPr>
          <w:ilvl w:val="0"/>
          <w:numId w:val="8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места получения информации о предоставлении муниципальной услуги оборудуются информационными стендами, телефонной связью и копировальной техникой.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2.13. Показатели доступности и качества муниципальной услуги:</w:t>
      </w:r>
    </w:p>
    <w:p>
      <w:pPr>
        <w:pStyle w:val="style65"/>
        <w:numPr>
          <w:ilvl w:val="0"/>
          <w:numId w:val="9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минимальное время ожидания предоставления муниципальной услуги;</w:t>
      </w:r>
    </w:p>
    <w:p>
      <w:pPr>
        <w:pStyle w:val="style65"/>
        <w:numPr>
          <w:ilvl w:val="0"/>
          <w:numId w:val="9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полнота, ясность и доступность изложения информационных материалов;</w:t>
      </w:r>
    </w:p>
    <w:p>
      <w:pPr>
        <w:pStyle w:val="style65"/>
        <w:numPr>
          <w:ilvl w:val="0"/>
          <w:numId w:val="9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достоверность предоставляемой информации;</w:t>
      </w:r>
    </w:p>
    <w:p>
      <w:pPr>
        <w:pStyle w:val="style65"/>
        <w:numPr>
          <w:ilvl w:val="0"/>
          <w:numId w:val="9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полнота информирования заявителей о ходе рассмотрения обращения;</w:t>
      </w:r>
    </w:p>
    <w:p>
      <w:pPr>
        <w:pStyle w:val="style65"/>
        <w:numPr>
          <w:ilvl w:val="0"/>
          <w:numId w:val="9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точность исполнения и культура обслуживания.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Показателями качества предоставления муниципальной услуги являются соблюдение сроков рассмотрения заявления, отсутствие или наличие жалоб на действия (бездействие) должностных лиц.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2.14. Иные требования, в том числе учитывающие особенности предоставления государственной услуги в электронной форме: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и на Портале государственных и муниципальных услуг.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и Портала государственных и муниципальных услуг мониторинг хода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прием заявления с прилагаемыми к нему необходимыми документами и его регистраци</w:t>
      </w:r>
      <w:r>
        <w:rPr>
          <w:rFonts w:ascii="Times New Roman" w:cs="Times New Roman" w:eastAsia="Times New Roman" w:hAnsi="Times New Roman"/>
          <w:sz w:val="28"/>
          <w:szCs w:val="28"/>
        </w:rPr>
        <w:t>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;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заявления с прилагаемыми документами личного хранения, их проверка на соответствие требованиям действующего  законодательства;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направление необходимых для предоставления муниципальной услуги  межведомственных запросов и получение ответов на них;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подготовка материалов к заседанию приемочной комиссии для рассмотрения представленных документов;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рассмотрение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помещение;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принятие постановления администрации Курджиновского сельского поселения о переводе жилого помещения в нежилое помещение или нежилого помещения в жилое помещение;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уведомление заявителя о переводе жилого помещения в нежилое помещение или нежилого помещения в жилое помещение (Приложение № 2);</w:t>
      </w:r>
    </w:p>
    <w:p>
      <w:pPr>
        <w:pStyle w:val="style65"/>
        <w:numPr>
          <w:ilvl w:val="0"/>
          <w:numId w:val="10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уведомление заявителя об отказе в переводе жилого помещения в нежилое помещение или нежилого помещения в жилое помещение (Приложение № 2).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65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3.1.1. Процедуры формирования и направления межведомственных запросов для предоставления муниципальной услуги. 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Должностное лицо (специалист) администрации, посредством информационной системы Типового Комплекса Межведомственного Взаимодействия Регионального Уровня (ТКМВ-РУ), направляет межведомственные запросы на предоставление документов (информации), необходимых для предоставления муниципальной услуги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(заказ).</w:t>
      </w:r>
    </w:p>
    <w:p>
      <w:pPr>
        <w:pStyle w:val="style65"/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65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3.1.2. Наименование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 и перечень предоставляемых ими документов и информации в рамках межведомственного взаимодействия,  необходимые для получения муниципальной услуги:</w:t>
      </w:r>
    </w:p>
    <w:p>
      <w:pPr>
        <w:pStyle w:val="style65"/>
        <w:numPr>
          <w:ilvl w:val="0"/>
          <w:numId w:val="13"/>
        </w:numPr>
        <w:tabs>
          <w:tab w:leader="none" w:pos="7569" w:val="left"/>
        </w:tabs>
        <w:spacing w:after="0" w:before="0" w:line="100" w:lineRule="atLeast"/>
        <w:ind w:hanging="360" w:left="1287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 (выписка из ЕГРП о правах отдельного лица на имеющиеся у него объекты недвижимого имущества);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3.2. Блок-схема предоставления муниципальной услуги представлена в приложении № 3 к настоящему Административному регламенту.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 Описание административных процедур.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3.3.1. Прием заявления с прилагаемыми к нему необходимыми документами и его регистрация.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данной процедуры является предоставление заявителем в администрацию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сельского поселения документов, перечисленных в п. 2.6 настоящего Административного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3.3.2. Рассмотрение заявления с прилагаемыми документами личного хранения, их проверка на соответствие требованиям действующего  законодательства.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Должностное лицо (специалист) Администрации осуществляет проверку полноты содержащейся в заявлении информации и комплектности, предоставленных заявителем, документов с учетом требований пункта 2 статьи 23Жилищного кодекса Российской Федерации и настоящего Административного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отсутствии у заявителя документов, указанных в пункте 2.6 настоящего Административного регламента, специалист предлагает заявителю предоставить их в Администрацию, а данная административная процедура приостанавливается до предоставления указанных документов.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наличии документов, указанных в пункте 2.6 настоящего Административного регламента, специалист осуществляет формирование дела.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3.3.3. Направление необходимых для предоставления муниципальной услуги  межведомственных запросов и получение ответов на них.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Межведомственные запросы направляются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(заказ), не позднее 1 рабочего дня с момента получения заявления для предоставления муниципальной услуги.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(если иное не предусмотрено действующим законодательством).  </w:t>
      </w:r>
    </w:p>
    <w:p>
      <w:pPr>
        <w:pStyle w:val="style65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Полученные ответы на межведомственные запросы добавляются в ранее сформированное дело(в день получения ответа на запрос).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3.3.4. Подготовка материалов к заседанию приемочной комиссии для рассмотрения представленных заявителем документов.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2.6 и 2.7 настоящего Административного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Специалист Администрации Курджиновского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сельского поселения совместно </w:t>
      </w:r>
      <w:r>
        <w:rPr>
          <w:rFonts w:ascii="Times New Roman" w:cs="Times New Roman" w:eastAsia="Times New Roman" w:hAnsi="Times New Roman"/>
          <w:sz w:val="28"/>
          <w:szCs w:val="28"/>
        </w:rPr>
        <w:t>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помещений, перевод жилых помещений в нежилые и нежилых помещений в жилые, признанию жилых помещений непригодными для проживания, жилых многоквартирных домов аварийными и подлежащими сносу (далее - приемочная комиссия) определяет дату, время и место проведения заседания, повестку заседания.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Результатом данной административной процедуры является назначение  заседания приемочной комиссии.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Время на осуществление данной административной процедуры не должно превышать пяти рабочих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3.3.5. Рассмотрение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приемочной комиссией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данной административной процедуры является передача комплекта документов, необходимых для предоставления муниципальной </w:t>
      </w:r>
      <w:r>
        <w:rPr>
          <w:rFonts w:ascii="Times New Roman" w:cs="Times New Roman" w:eastAsia="Times New Roman" w:hAnsi="Times New Roman"/>
          <w:sz w:val="28"/>
          <w:szCs w:val="28"/>
        </w:rPr>
        <w:t>услуги в приемочную комиссию.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Приемочная комиссия в соответствии с повесткой заседания рассматривает представленные материалы, проверяет их на соответствие требованиям законодательства и выносит одно из решений:</w:t>
      </w:r>
    </w:p>
    <w:p>
      <w:pPr>
        <w:pStyle w:val="style65"/>
        <w:numPr>
          <w:ilvl w:val="0"/>
          <w:numId w:val="11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о возможности перевода жилого помещения в нежилое помещение или нежилого помещения в жилое помещение;</w:t>
      </w:r>
    </w:p>
    <w:p>
      <w:pPr>
        <w:pStyle w:val="style65"/>
        <w:numPr>
          <w:ilvl w:val="0"/>
          <w:numId w:val="11"/>
        </w:numPr>
        <w:tabs>
          <w:tab w:leader="none" w:pos="8474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о невозможности перевода жилого помещения в нежилое помещение или нежилого помещения в жилое помещение.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Результатом данной административной процедуры является решение приемочной комиссии, оформленное в виде акта.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Время на осуществление 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нной административной процедуры не должно превышать трех рабочих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3.3.6. Принятие постановления администрации Курджиновского сельского поселения о переводе жилого помещения в нежилое помещение или нежилого помещения в жилое помещение.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rFonts w:ascii="Times New Roman" w:cs="Times New Roman" w:eastAsia="Times New Roman" w:hAnsi="Times New Roman"/>
          <w:sz w:val="28"/>
          <w:szCs w:val="28"/>
        </w:rPr>
        <w:t>решение приемочной комиссии о возможности перевода жилого помещения в нежилое помещение или нежилого помещения в жилое помещение, оформленное в виде акта.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На основании акта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специалист Администрации осуществляет подготовку проекта соответствующего Постановления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сельского поселения, который в порядке делопроизводства согласовывается и представляется на подпись Главе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Результатом данной административной процедуры является издание соответствующего постановления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Время на осуществление данной административной процедуры не должно превыша</w:t>
      </w:r>
      <w:r>
        <w:rPr>
          <w:rFonts w:ascii="Times New Roman" w:cs="Times New Roman" w:eastAsia="Times New Roman" w:hAnsi="Times New Roman"/>
          <w:sz w:val="28"/>
          <w:szCs w:val="28"/>
        </w:rPr>
        <w:t>ть трех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3.3.7. Уведомление заявителя о переводе жилого помещения в нежилое помещение или нежилого помещения в жилое помещение.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данной административной процедуры является зарегистрированное постановление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Должностное лицо (специалист)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сельского поселения не позднее следующего рабочего дня со дня регистрации изданного постановления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сельского поселения  о переводе жилого помещения в нежилое помещение или нежилого помещения в жилое помещение </w:t>
      </w:r>
      <w:r>
        <w:rPr>
          <w:rFonts w:ascii="Times New Roman" w:cs="Times New Roman" w:hAnsi="Times New Roman"/>
          <w:sz w:val="28"/>
          <w:szCs w:val="28"/>
        </w:rPr>
        <w:t xml:space="preserve">информирует заявителя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по телефону в устной форме, либо направляет по почте по адресу, указанному в заявлении, соответствующее </w:t>
      </w:r>
      <w:hyperlink r:id="rId2">
        <w:r>
          <w:rPr>
            <w:rStyle w:val="style20"/>
            <w:rStyle w:val="style20"/>
            <w:rFonts w:ascii="Times New Roman" w:cs="Times New Roman" w:eastAsia="Times New Roman" w:hAnsi="Times New Roman"/>
            <w:color w:val="000000"/>
            <w:sz w:val="28"/>
            <w:szCs w:val="28"/>
          </w:rPr>
          <w:t>уведомление</w:t>
        </w:r>
      </w:hyperlink>
      <w:r>
        <w:rPr>
          <w:rFonts w:ascii="Times New Roman" w:cs="Times New Roman" w:eastAsia="Times New Roman" w:hAnsi="Times New Roman"/>
          <w:sz w:val="28"/>
          <w:szCs w:val="28"/>
        </w:rPr>
        <w:t>(Приложение №2).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 переводе жилого помещения в нежилое помещение или нежилого помещения в жилое помещение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осуществляется письменно или по телефону в устной форме с обозначением заранее сроков готовности.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3.3.8. Уведомление заявителя об отказе в переводе жилого помещения в нежилое помещение или нежилого помещения в жилое помещение.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rFonts w:ascii="Times New Roman" w:cs="Times New Roman" w:eastAsia="Times New Roman" w:hAnsi="Times New Roman"/>
          <w:sz w:val="28"/>
          <w:szCs w:val="28"/>
        </w:rPr>
        <w:t>решение приемочной комиссии о невозможности перевода жилого помещения в нежилое помещение или нежилого помещения в жилое помещение, оформленное в виде акта.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Должностное лицо (специалист)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не позднее следующего рабочего дня со дня принятия </w:t>
      </w:r>
      <w:r>
        <w:rPr>
          <w:rFonts w:ascii="Times New Roman" w:eastAsia="Times New Roman" w:hAnsi="Times New Roman"/>
          <w:sz w:val="28"/>
          <w:szCs w:val="28"/>
        </w:rPr>
        <w:t xml:space="preserve">решения </w:t>
      </w:r>
      <w:r>
        <w:rPr>
          <w:rFonts w:ascii="Times New Roman" w:cs="Times New Roman" w:eastAsia="Times New Roman" w:hAnsi="Times New Roman"/>
          <w:sz w:val="28"/>
          <w:szCs w:val="28"/>
        </w:rPr>
        <w:t>о невозможности предоставления муниципальной услуги, направляет уведомление об отказе в переводе жилого помещения в нежилое помещение или нежилого помещения в жилое помещение, которое подписывается Главой администрации Курджиновского сельского поселения (Приложение №2).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3.4. Ответственность за выполнение административных действий.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Ответственным за выполнение каждого административного действия, входящего в состав административных процедур является ответственный за предоставление муниципальной  услуги специалист администрации Курджиновского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. ФОРМЫ КОНТРОЛЯ ЗА ПРЕДОСТАВЛЕНИЕМ МУНИЦИПАЛЬНОЙ УСЛУГИ </w:t>
        <w:br/>
        <w:t>«ПЕРЕВОДЖИЛОГО ПОМЕЩЕНИЯ В НЕЖИЛОЕ ПОМЕЩЕНИЕ И НЕЖИЛОГО ПОМЕЩЕНИЯ В ЖИЛОЕ ПОМЕЩЕНИЕ»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4.1. Порядок осуществления текущего контроля предоставления муниципальной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осуществляется Главой администрации Курджиновского сельского поселения (далее – текущий контроль). 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>
      <w:pPr>
        <w:pStyle w:val="style65"/>
        <w:numPr>
          <w:ilvl w:val="0"/>
          <w:numId w:val="18"/>
        </w:numPr>
        <w:tabs>
          <w:tab w:leader="none" w:pos="8279" w:val="left"/>
          <w:tab w:leader="none" w:pos="144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соблюдение сроков исполнения административных процедур;</w:t>
      </w:r>
    </w:p>
    <w:p>
      <w:pPr>
        <w:pStyle w:val="style65"/>
        <w:numPr>
          <w:ilvl w:val="0"/>
          <w:numId w:val="18"/>
        </w:numPr>
        <w:tabs>
          <w:tab w:leader="none" w:pos="8279" w:val="left"/>
          <w:tab w:leader="none" w:pos="144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последовательность исполнения административных процедур;</w:t>
      </w:r>
    </w:p>
    <w:p>
      <w:pPr>
        <w:pStyle w:val="style65"/>
        <w:numPr>
          <w:ilvl w:val="0"/>
          <w:numId w:val="18"/>
        </w:numPr>
        <w:tabs>
          <w:tab w:leader="none" w:pos="8279" w:val="left"/>
          <w:tab w:leader="none" w:pos="144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правильность принятых решений при предоставлении муниципальной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 результатам текущего контроля в случае выявления нарушений Глава администрации Курджиновского сельского поселения дает указания по устранению выявленных нарушений и контролирует их устранение.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Текущий контроль осуществляется в соответствии с периодичностью,  устанавливаемой Главой администрации Курджиновского сельского поселения.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4.2. Порядок осуществления контроля над полнотой и качеством предоставления муниципальной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Контроль над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приказом  администрации сельского  поселения.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Плановые проверки осуществляются на основании годовых планов работы администрации сельского поселения.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 должностных лиц администрации сельского поселения во время проведения проверки либо в связи с истечением сроков, установленных для устранения ранее выявленных нарушений.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Специалист администрации сельского поселения,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Глава администрации Курджиновского сельского 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процедур, выделяемых в рамках Административного регламента.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4.4. Порядок и формы контроля за предоставлением муниципальной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>
      <w:pPr>
        <w:pStyle w:val="style65"/>
        <w:numPr>
          <w:ilvl w:val="0"/>
          <w:numId w:val="17"/>
        </w:numPr>
        <w:tabs>
          <w:tab w:leader="none" w:pos="8609" w:val="left"/>
          <w:tab w:leader="none" w:pos="14809" w:val="left"/>
        </w:tabs>
        <w:spacing w:after="0" w:before="0" w:line="100" w:lineRule="atLeast"/>
        <w:ind w:hanging="360" w:left="1495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>
      <w:pPr>
        <w:pStyle w:val="style65"/>
        <w:numPr>
          <w:ilvl w:val="0"/>
          <w:numId w:val="17"/>
        </w:numPr>
        <w:tabs>
          <w:tab w:leader="none" w:pos="8609" w:val="left"/>
          <w:tab w:leader="none" w:pos="14809" w:val="left"/>
        </w:tabs>
        <w:spacing w:after="0" w:before="0" w:line="100" w:lineRule="atLeast"/>
        <w:ind w:hanging="360" w:left="1495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отдельных вопросов при проведении внеплановых проверок;</w:t>
      </w:r>
    </w:p>
    <w:p>
      <w:pPr>
        <w:pStyle w:val="style65"/>
        <w:numPr>
          <w:ilvl w:val="0"/>
          <w:numId w:val="17"/>
        </w:numPr>
        <w:tabs>
          <w:tab w:leader="none" w:pos="8609" w:val="left"/>
          <w:tab w:leader="none" w:pos="14809" w:val="left"/>
        </w:tabs>
        <w:spacing w:after="0" w:before="0" w:line="100" w:lineRule="atLeast"/>
        <w:ind w:hanging="360" w:left="1495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выявление и устранение нарушений прав заявителей;</w:t>
      </w:r>
    </w:p>
    <w:p>
      <w:pPr>
        <w:pStyle w:val="style65"/>
        <w:numPr>
          <w:ilvl w:val="0"/>
          <w:numId w:val="17"/>
        </w:numPr>
        <w:tabs>
          <w:tab w:leader="none" w:pos="8609" w:val="left"/>
          <w:tab w:leader="none" w:pos="14809" w:val="left"/>
        </w:tabs>
        <w:spacing w:after="0" w:before="0" w:line="100" w:lineRule="atLeast"/>
        <w:ind w:hanging="360" w:left="1495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Заявители в рамках контроля за предоставлением муниципальной услуги вправе:</w:t>
      </w:r>
    </w:p>
    <w:p>
      <w:pPr>
        <w:pStyle w:val="style65"/>
        <w:numPr>
          <w:ilvl w:val="0"/>
          <w:numId w:val="17"/>
        </w:numPr>
        <w:tabs>
          <w:tab w:leader="none" w:pos="8609" w:val="left"/>
          <w:tab w:leader="none" w:pos="14809" w:val="left"/>
        </w:tabs>
        <w:spacing w:after="0" w:before="0" w:line="100" w:lineRule="atLeast"/>
        <w:ind w:hanging="360" w:left="1495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предоставлять дополнительные документы и материалы либо обращаться с просьбой об их истребовании;</w:t>
      </w:r>
    </w:p>
    <w:p>
      <w:pPr>
        <w:pStyle w:val="style65"/>
        <w:numPr>
          <w:ilvl w:val="0"/>
          <w:numId w:val="17"/>
        </w:numPr>
        <w:tabs>
          <w:tab w:leader="none" w:pos="8609" w:val="left"/>
          <w:tab w:leader="none" w:pos="14809" w:val="left"/>
        </w:tabs>
        <w:spacing w:after="0" w:before="0" w:line="100" w:lineRule="atLeast"/>
        <w:ind w:hanging="360" w:left="1495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>
      <w:pPr>
        <w:pStyle w:val="style65"/>
        <w:numPr>
          <w:ilvl w:val="0"/>
          <w:numId w:val="17"/>
        </w:numPr>
        <w:tabs>
          <w:tab w:leader="none" w:pos="8609" w:val="left"/>
          <w:tab w:leader="none" w:pos="14809" w:val="left"/>
        </w:tabs>
        <w:spacing w:after="0" w:before="0" w:line="100" w:lineRule="atLeast"/>
        <w:ind w:hanging="360" w:left="1495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обращаться с жалобой на принятое решение или на действие (бездействие) должностных лиц, органа, участвующего в предоставлении муниципальной  услуги, в ходе предоставления муниципальной услуги в досудебном (внесудебном) порядке в соответствии с законодательством.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  <w:br/>
        <w:t xml:space="preserve">А ТАКЖЕ ИХ ДОЛЖНОСТНЫХ ЛИЦ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 должностных лиц и муниципальных служащих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 (Приложение №4 к административному регламенту).</w:t>
      </w:r>
    </w:p>
    <w:p>
      <w:pPr>
        <w:pStyle w:val="style66"/>
        <w:ind w:firstLine="709" w:left="0" w:right="0"/>
        <w:jc w:val="both"/>
      </w:pPr>
      <w:r>
        <w:rPr/>
      </w:r>
    </w:p>
    <w:p>
      <w:pPr>
        <w:pStyle w:val="style66"/>
        <w:ind w:firstLine="709" w:left="0" w:right="0"/>
        <w:jc w:val="both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5.2.</w:t>
      </w:r>
      <w:r>
        <w:rPr>
          <w:rFonts w:ascii="Times New Roman" w:cs="Times New Roman" w:hAnsi="Times New Roman"/>
          <w:b/>
          <w:sz w:val="28"/>
          <w:szCs w:val="28"/>
        </w:rPr>
        <w:t>Предмет досудебного (внесудебного) обжалования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</w:p>
    <w:p>
      <w:pPr>
        <w:pStyle w:val="style66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настоящего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досудебного (внесудебного) обжалования является поступление в администрацию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(бездействия) специалиста, предоставляющего муниципальную услугу, по телефону, указанному в пункте 1.3. настоящего Административного регламента.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5.3. Должностные лица уполномоченные на рассмотрение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Жалоба адресуется Главе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5.4.Порядок подачи и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Заявители могут подать жалобу Главе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сельского поселения о нарушении своих прав и законных интересов должностными лицами и (или) муниципальными служащими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предоставлении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Жалоба должна содержать:</w:t>
      </w:r>
    </w:p>
    <w:p>
      <w:pPr>
        <w:pStyle w:val="style65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65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65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>
      <w:pPr>
        <w:pStyle w:val="style65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Жалоба может быть подана в устной или письменной форме, а так же в электронном виде посредством: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а) официального сайта администрации Курджиновского сельского поселения;</w:t>
      </w:r>
    </w:p>
    <w:p>
      <w:pPr>
        <w:pStyle w:val="style0"/>
        <w:tabs>
          <w:tab w:leader="none" w:pos="993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б)федеральной государственной информационной системы «Единый портал государственных и муниципальных услуг(функций)».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5.5. Срок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Срок рассмотрения жалобы не должен превышать 15 (пятнадцать)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Срок рассмотрения жалобы исчисляется со дня регистрации жалобы в администрации Курджиновского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5.6. Оснований для приостановления рассмотрения жалобы (претензии) не имеется.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Письменный ответ на жалобу (претензию) заявителя не дается по основаниям, указанным в статье 11 Федерального закона «О порядке рассмотрения обращений граждан Российской Федерации».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5.7. Результатом досудебного (внесудебного) обжалования является принятие необходимых мер.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5.7.1.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 должностному лицу администрации, допустившему нарушения в ходе осуществления государственной услуги на основании настоящего Административного регламента, которые повлекли за собой жалобу заявителя применяются установленные действующим законодательством меры ответственности.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5.7.2.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5.8. Порядок информирования заявителя о результатах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Заявителю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 телефону в устной форме, либо по почте по адресу, указанному в заявлении, направляется сообщение о принятом решении по результатом рассмотрения жалобы и действиях, осуществленных в соответствии с принятым решением, а также разъясняется порядок дальнейшего обжалования принятого решения.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Информирование осуществляется не позднее  одного рабочего дня, следующего за днем принятия решения.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5.9. Порядок обжалования решения по жалобе.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Заявитель вправе обжаловать решения, принятые в ходе рассмотрения жалобы на действия (бездействие) и решения, осуществленные (принятые) в ходе предоставления муниципальной услуги исполнения муниципальной услуги, а также действия или бездействие должностных лиц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судебном порядке в установленные законодательством Российской Федерации сроки.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Порядок подачи, рассмотрения и разрешения жалоб, направляемых в суды, определяются Гражданским процессуальным кодексом Российской Федерации и Арбитражным процессуальным кодексом Российской Федерации.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Заявитель (его законный представитель) имеет право на получение информации и документов, необходимых для обоснования и рассмотрения жалобы в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bookmarkStart w:id="1" w:name="sub_3274"/>
      <w:r>
        <w:rPr>
          <w:rFonts w:ascii="Times New Roman" w:hAnsi="Times New Roman"/>
          <w:b/>
          <w:sz w:val="28"/>
          <w:szCs w:val="28"/>
        </w:rPr>
        <w:t>5.11.</w:t>
      </w:r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/>
          <w:b/>
          <w:sz w:val="28"/>
          <w:szCs w:val="28"/>
        </w:rPr>
        <w:t xml:space="preserve">о порядке подачи и рассмотрения жалобы на </w:t>
      </w:r>
      <w:r>
        <w:rPr>
          <w:rFonts w:ascii="Times New Roman" w:hAnsi="Times New Roman"/>
          <w:b/>
          <w:bCs/>
          <w:sz w:val="28"/>
          <w:szCs w:val="28"/>
        </w:rPr>
        <w:t xml:space="preserve">действие (бездействие) специалистов администрации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Курджиновского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в досудебном или судебном порядке входе </w:t>
      </w: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осуществляется:</w:t>
      </w:r>
    </w:p>
    <w:p>
      <w:pPr>
        <w:pStyle w:val="style65"/>
        <w:numPr>
          <w:ilvl w:val="0"/>
          <w:numId w:val="12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специалистами администрации;</w:t>
      </w:r>
    </w:p>
    <w:p>
      <w:pPr>
        <w:pStyle w:val="style65"/>
        <w:numPr>
          <w:ilvl w:val="0"/>
          <w:numId w:val="12"/>
        </w:numPr>
        <w:tabs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помощи средств телефонной связи, электронного информирования;</w:t>
      </w:r>
    </w:p>
    <w:p>
      <w:pPr>
        <w:pStyle w:val="style65"/>
        <w:numPr>
          <w:ilvl w:val="0"/>
          <w:numId w:val="12"/>
        </w:numPr>
        <w:tabs>
          <w:tab w:leader="none" w:pos="7145" w:val="left"/>
          <w:tab w:leader="none" w:pos="7571" w:val="left"/>
          <w:tab w:leader="none" w:pos="8279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 </w:t>
      </w:r>
    </w:p>
    <w:p>
      <w:pPr>
        <w:pStyle w:val="style0"/>
        <w:pageBreakBefore/>
        <w:tabs>
          <w:tab w:leader="none" w:pos="35721" w:val="left"/>
          <w:tab w:leader="none" w:pos="36147" w:val="left"/>
        </w:tabs>
        <w:spacing w:after="0" w:before="0" w:line="100" w:lineRule="atLeast"/>
        <w:ind w:hanging="0" w:left="5103" w:right="0"/>
        <w:contextualSpacing w:val="false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Приложение № 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/>
        <w:t xml:space="preserve">к Административному регламенту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Форма заявления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3828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Главе администрации Курджиновского сельского поселения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(Ф.И.О. руководителя)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(Ф.И.О. заявителя,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паспортные данные)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(по доверенности в интересах)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>
      <w:pPr>
        <w:pStyle w:val="style0"/>
        <w:spacing w:after="0" w:before="0" w:line="100" w:lineRule="atLeast"/>
        <w:ind w:hanging="0" w:left="3828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(адрес регистрации собственника)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Заявление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 переводе помещения от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(указывается собственник жилого (нежилого) помещения, либо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собственники жилого (нежилого) помещения, находящегося в общей собственности двух и более лиц,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в случае, если ни один из собственников либо иных лиц не уполномочен в установленном порядке представлять их интересы)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Прошу разрешить перевод помещения общей площадью _______ кв.м., находящегося по адресу: _____________________________________________________________________________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(наименование сельского поселения,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улицы, площади, проспекта, бульвара, проезда и т.п.)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дом ____________, корпус (владение, строение) ___________, квартира _____,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из жилого (нежилого) в нежилое (жилое) (ненужное зачеркнуть) в целях использования помещения в качестве 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(вид использования помещения)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(указывается перечень необходимых работ по ремонту, реконструкции, реставрации помещения)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Срок производства ремонтно-строительных и (или) иных работ с «_____»____________ 20__г. по «____» ____________ 20__ г.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Режим производства ремонтно-строительных и (или) иных работ с _____ по _____ часов в ___________________ дни.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Обязуюсь: осуществить ремонтно-строительные работы в соответствии с проектом (проектной документацией);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1) _____________________________________________________________________________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(указывается вид и реквизиты правоустанавливающего документа на переводимое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_____________________________________________________________________________ на _____ листах; помещение (с отметкой: подлинник или нотариально заверенная копия)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2) план переводимого помещения с его техническим описанием на _____ листах;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3) технический паспорт переводимого помещения (в случае, если переводимое помещение является жилым) на _____ листах;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4) поэтажный план дома, в котором находится переводимое помещение на _____ листах;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5) проект (проектная документация) переустройства и (или) перепланировки жилого помещения на _____ листах;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6) иные документы: 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(доверенности, выписки из уставов и др.)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Подписи лиц, подавших заявление: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«____» ________ 20__г. _______________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(дата) (подпись заявителя) (расшифровка подписи заявителя)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«____» ________ 20___г. ______________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(дата) (подпись заявителя) (расшифровка подписи заявителя)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«____» ________ 20___г. ______________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(дата) (подпись заявителя) (расшифровка подписи заявителя)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Документы представлены на приеме «___» ________ 20___г.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Входящий номер регистрации заявления 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Выдана расписка в получении документов «___» ________20___г. № 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Расписку получил: «___» _________20___г.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(подпись заявителя)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(должность, Ф.И.О. должностного лица, принявшего заявление), (подпись)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pageBreakBefore/>
        <w:spacing w:after="0" w:before="0" w:line="100" w:lineRule="atLeast"/>
        <w:ind w:hanging="0" w:left="5103" w:right="0"/>
        <w:contextualSpacing w:val="false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Приложение № 2</w:t>
        <w:br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к Административному  регламенту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УВЕДОМЛЕНИЕ</w:t>
        <w:br/>
        <w:t>о переводе (отказе в переводе) жилого (нежилого)</w:t>
        <w:br/>
        <w:t>помещения в нежилое (жилое) помещение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(полное наименование органа местного самоуправления,</w:t>
      </w:r>
    </w:p>
    <w:p>
      <w:pPr>
        <w:pStyle w:val="style0"/>
        <w:spacing w:after="0" w:before="0" w:line="100" w:lineRule="atLeast"/>
        <w:ind w:firstLine="142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br/>
        <w:t>__________________________________________________________________,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осуществляющего перевод помещения)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                                                    кв. м,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находящегося по адресу:________________________________________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(наименование  сельского поселения)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__________________________________________________________________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(наименование улицы, площади, проспекта, бульвара, проезда и т.п.)</w:t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527"/>
        <w:gridCol w:w="556"/>
        <w:gridCol w:w="188"/>
        <w:gridCol w:w="2894"/>
        <w:gridCol w:w="543"/>
        <w:gridCol w:w="507"/>
        <w:gridCol w:w="236"/>
        <w:gridCol w:w="3947"/>
      </w:tblGrid>
      <w:tr>
        <w:trPr>
          <w:cantSplit w:val="true"/>
        </w:trPr>
        <w:tc>
          <w:tcPr>
            <w:tcW w:type="dxa" w:w="527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дом</w:t>
            </w:r>
          </w:p>
        </w:tc>
        <w:tc>
          <w:tcPr>
            <w:tcW w:type="dxa" w:w="556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188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type="dxa" w:w="2894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корпус владение, строение)</w:t>
            </w:r>
          </w:p>
        </w:tc>
        <w:tc>
          <w:tcPr>
            <w:tcW w:type="dxa" w:w="543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, кв.</w:t>
            </w:r>
          </w:p>
        </w:tc>
        <w:tc>
          <w:tcPr>
            <w:tcW w:type="dxa" w:w="507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type="dxa" w:w="3947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hanging="65" w:left="0" w:right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из жилого (нежилого) в нежилое (жилое)</w:t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55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18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289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(ненужное зачеркнуть)</w:t>
            </w:r>
          </w:p>
        </w:tc>
        <w:tc>
          <w:tcPr>
            <w:tcW w:type="dxa" w:w="54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50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394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hanging="61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(ненужное зачеркнуть)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целях использования помещения в качестве 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(вид использования помещения в соответствии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________________________________________________________________,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 заявлением о переводе)</w:t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1441"/>
        <w:gridCol w:w="8121"/>
        <w:gridCol w:w="233"/>
      </w:tblGrid>
      <w:tr>
        <w:trPr>
          <w:trHeight w:hRule="atLeast" w:val="80"/>
          <w:cantSplit w:val="true"/>
        </w:trPr>
        <w:tc>
          <w:tcPr>
            <w:tcW w:type="dxa" w:w="1441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284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РЕШИЛ </w:t>
            </w:r>
          </w:p>
        </w:tc>
        <w:tc>
          <w:tcPr>
            <w:tcW w:type="dxa" w:w="8121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233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):</w:t>
            </w:r>
          </w:p>
        </w:tc>
      </w:tr>
      <w:tr>
        <w:trPr>
          <w:cantSplit w:val="true"/>
        </w:trPr>
        <w:tc>
          <w:tcPr>
            <w:tcW w:type="dxa" w:w="144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812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(наименование акта, дата его принятия и номер)</w:t>
            </w:r>
          </w:p>
        </w:tc>
        <w:tc>
          <w:tcPr>
            <w:tcW w:type="dxa" w:w="23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1. Помещение на основании приложенных к заявлению документов:</w:t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2135"/>
        <w:gridCol w:w="3633"/>
        <w:gridCol w:w="3643"/>
      </w:tblGrid>
      <w:tr>
        <w:trPr>
          <w:cantSplit w:val="false"/>
        </w:trPr>
        <w:tc>
          <w:tcPr>
            <w:tcW w:type="dxa" w:w="213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а) перевести из</w:t>
            </w:r>
          </w:p>
        </w:tc>
        <w:tc>
          <w:tcPr>
            <w:tcW w:type="dxa" w:w="3633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жилого (нежилого) в нежилое (жилое)</w:t>
            </w:r>
          </w:p>
        </w:tc>
        <w:tc>
          <w:tcPr>
            <w:tcW w:type="dxa" w:w="3643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без предварительных условий;</w:t>
            </w:r>
          </w:p>
        </w:tc>
      </w:tr>
      <w:tr>
        <w:trPr>
          <w:cantSplit w:val="false"/>
        </w:trPr>
        <w:tc>
          <w:tcPr>
            <w:tcW w:type="dxa" w:w="2135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/>
            </w:r>
          </w:p>
        </w:tc>
        <w:tc>
          <w:tcPr>
            <w:tcW w:type="dxa" w:w="3633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(ненужное зачеркнуть)</w:t>
            </w:r>
          </w:p>
        </w:tc>
        <w:tc>
          <w:tcPr>
            <w:tcW w:type="dxa" w:w="3643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/>
            </w:r>
          </w:p>
        </w:tc>
      </w:tr>
    </w:tbl>
    <w:p>
      <w:pPr>
        <w:pStyle w:val="style0"/>
        <w:pageBreakBefore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(перечень работ по переустройству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(перепланировке) помещения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или иных необходимых работ по ремонту, реконструкции, реставрации помещения)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2. Отказать в переводе указанного помещения из жилого (нежилого) в нежилое (жилое)в связи с 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(основание(я), установленное частью 1 статьи 24 Жилищного кодекса Российской Федерации)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tbl>
      <w:tblPr>
        <w:jc w:val="left"/>
        <w:tblInd w:type="dxa" w:w="28"/>
        <w:tblBorders>
          <w:top w:val="none"/>
          <w:left w:val="none"/>
          <w:bottom w:color="00000A" w:space="0" w:sz="8" w:val="single"/>
          <w:insideH w:color="00000A" w:space="0" w:sz="8" w:val="single"/>
          <w:right w:val="none"/>
          <w:insideV w:val="non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3768"/>
        <w:gridCol w:w="256"/>
        <w:gridCol w:w="1870"/>
        <w:gridCol w:w="256"/>
        <w:gridCol w:w="3263"/>
      </w:tblGrid>
      <w:tr>
        <w:trPr>
          <w:cantSplit w:val="false"/>
        </w:trPr>
        <w:tc>
          <w:tcPr>
            <w:tcW w:type="dxa" w:w="3768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25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1870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256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3263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>
        <w:trPr>
          <w:cantSplit w:val="false"/>
        </w:trPr>
        <w:tc>
          <w:tcPr>
            <w:tcW w:type="dxa" w:w="376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(должность лица, подписавшего уведомление)</w:t>
            </w:r>
          </w:p>
        </w:tc>
        <w:tc>
          <w:tcPr>
            <w:tcW w:type="dxa" w:w="25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187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type="dxa" w:w="25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326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ind w:hanging="53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28"/>
          <w:bottom w:type="dxa" w:w="0"/>
          <w:right w:type="dxa" w:w="28"/>
        </w:tblCellMar>
      </w:tblPr>
      <w:tblGrid>
        <w:gridCol w:w="180"/>
        <w:gridCol w:w="396"/>
        <w:gridCol w:w="274"/>
        <w:gridCol w:w="1806"/>
        <w:gridCol w:w="507"/>
        <w:gridCol w:w="219"/>
        <w:gridCol w:w="6024"/>
      </w:tblGrid>
      <w:tr>
        <w:trPr>
          <w:cantSplit w:val="false"/>
        </w:trPr>
        <w:tc>
          <w:tcPr>
            <w:tcW w:type="dxa" w:w="18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“</w:t>
            </w:r>
          </w:p>
        </w:tc>
        <w:tc>
          <w:tcPr>
            <w:tcW w:type="dxa" w:w="396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274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type="dxa" w:w="1806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507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type="dxa" w:w="219"/>
            <w:tcBorders>
              <w:top w:val="none"/>
              <w:left w:val="none"/>
              <w:bottom w:color="00000A" w:space="0" w:sz="8" w:val="singl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type="dxa" w:w="6024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>
      <w:pPr>
        <w:pStyle w:val="style0"/>
        <w:spacing w:after="0" w:before="0" w:line="100" w:lineRule="atLeast"/>
        <w:ind w:firstLine="1134" w:left="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М.П.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66"/>
        <w:pageBreakBefore/>
        <w:widowControl/>
        <w:ind w:hanging="0" w:left="5812" w:right="0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Приложение №  3</w:t>
      </w:r>
    </w:p>
    <w:p>
      <w:pPr>
        <w:pStyle w:val="style66"/>
        <w:widowControl/>
        <w:ind w:hanging="0" w:left="5812" w:right="0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к административному регламенту</w:t>
      </w:r>
    </w:p>
    <w:p>
      <w:pPr>
        <w:pStyle w:val="style66"/>
        <w:widowControl/>
        <w:ind w:hanging="0" w:left="0" w:right="0"/>
        <w:jc w:val="right"/>
      </w:pPr>
      <w:r>
        <w:rPr/>
      </w:r>
    </w:p>
    <w:p>
      <w:pPr>
        <w:pStyle w:val="style66"/>
        <w:widowControl/>
        <w:ind w:hanging="0" w:left="0" w:right="0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БЛОК – СХЕМА </w:t>
      </w:r>
    </w:p>
    <w:p>
      <w:pPr>
        <w:pStyle w:val="style0"/>
        <w:spacing w:line="100" w:lineRule="atLeast"/>
      </w:pPr>
      <w:r>
        <w:rPr/>
      </w:r>
    </w:p>
    <w:p>
      <w:pPr>
        <w:pStyle w:val="style71"/>
        <w:jc w:val="center"/>
      </w:pPr>
      <w:r>
        <w:rPr>
          <w:rFonts w:ascii="Times New Roman" w:cs="Times New Roman" w:hAnsi="Times New Roman"/>
        </w:rPr>
        <w:t>Прием заявления и документов</w:t>
      </w:r>
    </w:p>
    <w:p>
      <w:pPr>
        <w:pStyle w:val="style71"/>
        <w:spacing w:after="120" w:before="0"/>
        <w:contextualSpacing w:val="false"/>
      </w:pPr>
      <w:r>
        <w:rPr/>
      </w:r>
    </w:p>
    <w:p>
      <w:pPr>
        <w:pStyle w:val="style0"/>
        <w:spacing w:line="100" w:lineRule="atLeast"/>
      </w:pPr>
      <w:r>
        <w:rPr/>
        <w:pict>
          <v:line from="207.65pt,13.7pt" id="shape_0" style="position:absolute" to="207.65pt,30.7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tabs>
          <w:tab w:leader="none" w:pos="6963" w:val="left"/>
        </w:tabs>
        <w:spacing w:line="100" w:lineRule="atLeast"/>
      </w:pP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  <w:sz w:val="36"/>
          <w:szCs w:val="36"/>
        </w:rPr>
        <w:t>-</w:t>
      </w:r>
    </w:p>
    <w:p>
      <w:pPr>
        <w:pStyle w:val="style71"/>
        <w:spacing w:after="120" w:before="0"/>
        <w:contextualSpacing w:val="false"/>
        <w:jc w:val="center"/>
      </w:pPr>
      <w:r>
        <w:rPr>
          <w:rFonts w:ascii="Times New Roman" w:cs="Times New Roman" w:hAnsi="Times New Roman"/>
        </w:rPr>
        <w:t>Регистрация заявления</w:t>
      </w:r>
    </w:p>
    <w:p>
      <w:pPr>
        <w:pStyle w:val="style0"/>
        <w:tabs>
          <w:tab w:leader="none" w:pos="4677" w:val="center"/>
        </w:tabs>
        <w:spacing w:line="100" w:lineRule="atLeast"/>
      </w:pP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b/>
          <w:color w:val="000000"/>
          <w:sz w:val="36"/>
          <w:szCs w:val="36"/>
        </w:rPr>
        <w:t>+</w:t>
      </w:r>
    </w:p>
    <w:p>
      <w:pPr>
        <w:pStyle w:val="style71"/>
        <w:spacing w:after="120" w:before="0"/>
        <w:contextualSpacing w:val="false"/>
        <w:jc w:val="center"/>
      </w:pPr>
      <w:r>
        <w:rPr>
          <w:rFonts w:ascii="Times New Roman" w:cs="Times New Roman" w:hAnsi="Times New Roman"/>
        </w:rPr>
        <w:t>Прием документов</w:t>
      </w:r>
    </w:p>
    <w:p>
      <w:pPr>
        <w:pStyle w:val="style0"/>
        <w:spacing w:line="100" w:lineRule="atLeast"/>
      </w:pPr>
      <w:r>
        <w:rPr/>
        <w:pict>
          <v:line from="207.7pt,14.85pt" id="shape_0" style="position:absolute" to="207.7pt,32.5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spacing w:line="100" w:lineRule="atLeast"/>
      </w:pPr>
      <w:r>
        <w:rPr/>
      </w:r>
    </w:p>
    <w:p>
      <w:pPr>
        <w:pStyle w:val="style71"/>
        <w:spacing w:after="120" w:before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</w:rPr>
        <w:t>Направление необходимых для предоставления муниципальной услуги  межведомственных запросов и получение ответов на них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  <w:pict>
          <v:line from="207pt,12.9pt" id="shape_0" style="position:absolute" to="207pt,12.9pt">
            <v:stroke color="black" endarrow="block" endarrowlength="medium" endarrowwidth="medium" endcap="flat" joinstyle="round"/>
            <v:fill detectmouseclick="t"/>
          </v:line>
        </w:pict>
        <w:pict>
          <v:line from="206.95pt,6.1pt" id="shape_0" style="position:absolute" to="206.95pt,23.8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tabs>
          <w:tab w:leader="none" w:pos="1980" w:val="left"/>
        </w:tabs>
        <w:spacing w:line="100" w:lineRule="atLeast"/>
        <w:jc w:val="both"/>
      </w:pPr>
      <w:r>
        <w:rPr/>
      </w:r>
    </w:p>
    <w:p>
      <w:pPr>
        <w:pStyle w:val="style71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</w:rPr>
        <w:t>Подготовка материалов к заседанию приемочной комиссии для рассмотрения представленных документов</w:t>
      </w:r>
    </w:p>
    <w:p>
      <w:pPr>
        <w:pStyle w:val="style66"/>
        <w:widowControl/>
        <w:ind w:hanging="0" w:left="0" w:right="0"/>
      </w:pPr>
      <w:r>
        <w:rPr/>
        <w:pict>
          <v:line from="207.65pt,14.55pt" id="shape_0" style="position:absolute" to="208.1pt,29.5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71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</w:rPr>
        <w:t>Подготовка материалов к заседанию приемочной комиссии для рассмотрения представленных заявителем документов</w:t>
      </w:r>
    </w:p>
    <w:p>
      <w:pPr>
        <w:pStyle w:val="style71"/>
        <w:spacing w:after="120" w:before="0"/>
        <w:contextualSpacing w:val="false"/>
        <w:jc w:val="center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  <w:pict>
          <v:line from="210.85pt,10.9pt" id="shape_0" style="position:absolute" to="210.85pt,26.2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71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</w:rPr>
        <w:t>Рассмотрение приемочной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перевода жилого помещения в нежилое помещение или нежилого помещения в жилое помещение</w:t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  <w:pict>
          <v:line from="136.5pt,2.95pt" id="shape_0" style="position:absolute" to="136.5pt,17.5pt">
            <v:stroke color="black" endarrow="block" endarrowlength="medium" endarrowwidth="medium" endcap="flat" joinstyle="round"/>
            <v:fill detectmouseclick="t"/>
          </v:line>
        </w:pict>
        <w:pict>
          <v:line from="335.1pt,2.7pt" id="shape_0" style="position:absolute" to="335.1pt,20.4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71"/>
        <w:spacing w:after="120" w:before="0" w:line="240" w:lineRule="atLeast"/>
        <w:contextualSpacing/>
        <w:jc w:val="center"/>
      </w:pPr>
      <w:r>
        <w:rPr>
          <w:rFonts w:ascii="Times New Roman" w:cs="Times New Roman" w:hAnsi="Times New Roman"/>
        </w:rPr>
        <w:t>Уведомление заявителя об отказе в переводе жилого помещения в нежилое помещение или нежилого помещения в жилое помещение</w:t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  <w:pict>
          <v:line from="131.75pt,7.85pt" id="shape_0" style="position:absolute" to="131.75pt,21.2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71"/>
        <w:spacing w:after="120" w:before="0" w:line="240" w:lineRule="atLeast"/>
        <w:contextualSpacing/>
        <w:jc w:val="center"/>
      </w:pPr>
      <w:r>
        <w:rPr>
          <w:rFonts w:ascii="Times New Roman" w:cs="Times New Roman" w:eastAsia="Times New Roman" w:hAnsi="Times New Roman"/>
        </w:rPr>
        <w:t>Уведомление заявителя о переводе жилого помещения в нежилое помещение или нежилого помещения в жилое помещение</w:t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66"/>
        <w:widowControl/>
        <w:ind w:hanging="0" w:left="0" w:right="0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  <w:pict>
          <v:line from="131.35pt,14.25pt" id="shape_0" style="position:absolute" to="131.35pt,31.9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71"/>
        <w:spacing w:after="12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Выдача разрешения </w:t>
      </w:r>
      <w:r>
        <w:rPr>
          <w:rFonts w:ascii="Times New Roman" w:cs="Times New Roman" w:eastAsia="Times New Roman" w:hAnsi="Times New Roman"/>
        </w:rPr>
        <w:t>о переводе жилого помещения в нежилое помещение или нежилого помещения в жилое помещение</w:t>
      </w:r>
    </w:p>
    <w:p>
      <w:pPr>
        <w:pStyle w:val="style0"/>
      </w:pPr>
      <w:r>
        <w:rPr/>
      </w:r>
    </w:p>
    <w:p>
      <w:pPr>
        <w:pStyle w:val="style70"/>
        <w:widowControl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/>
      </w:r>
    </w:p>
    <w:p>
      <w:pPr>
        <w:pStyle w:val="style69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left"/>
      </w:pPr>
      <w:r>
        <w:rPr/>
      </w:r>
    </w:p>
    <w:p>
      <w:pPr>
        <w:pStyle w:val="style66"/>
        <w:pageBreakBefore/>
        <w:widowControl/>
        <w:ind w:hanging="0" w:left="5670" w:right="0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Приложение № 4</w:t>
      </w:r>
    </w:p>
    <w:p>
      <w:pPr>
        <w:pStyle w:val="style66"/>
        <w:widowControl/>
        <w:ind w:hanging="0" w:left="5670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к административному регламенту</w:t>
      </w:r>
    </w:p>
    <w:p>
      <w:pPr>
        <w:pStyle w:val="style69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right"/>
      </w:pPr>
      <w:r>
        <w:rPr>
          <w:b w:val="false"/>
          <w:color w:val="000000"/>
          <w:sz w:val="24"/>
        </w:rPr>
        <w:t>(образец)</w:t>
      </w:r>
    </w:p>
    <w:p>
      <w:pPr>
        <w:pStyle w:val="style69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0" w:left="0" w:right="0"/>
        <w:jc w:val="right"/>
      </w:pPr>
      <w:r>
        <w:rPr/>
      </w:r>
    </w:p>
    <w:tbl>
      <w:tblPr>
        <w:jc w:val="left"/>
        <w:tblInd w:type="dxa" w:w="4608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3"/>
      </w:tblGrid>
      <w:tr>
        <w:trPr>
          <w:cantSplit w:val="false"/>
        </w:trPr>
        <w:tc>
          <w:tcPr>
            <w:tcW w:type="dxa" w:w="4963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 администрацию Курджиновского сельского поселения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63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Фамилия, имя, отчество заявителя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6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Почтовый адрес заявителя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6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Контактный номер телефона заявителя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ОБРАЗЕЦ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ЗАЯВЛЕНИЕ (ЖАЛОБА)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4"/>
          <w:szCs w:val="24"/>
        </w:rPr>
        <w:t>(в досудебном порядке).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4"/>
          <w:szCs w:val="24"/>
        </w:rPr>
        <w:t>излагается суть заявления (жалобы)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Приложение: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1. Копия обжалуемого решения должностного лица администрации Курджиновского сельского поселения (в случае, если обжалуется отказ в рассмотрении заявления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о выдаче разрешения на ввод объекта в эксплуатацию, а также отказ в предоставлении муниципальной услуги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2. Документы и иные материалы, подтверждающие, что обжалуемое решение или действие (бездействие) должностного лица (сотрудника) департамента строительства администрации Курджиновского сельского поселения нарушают законные права и интересы заявителя.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3. Иные документы, подтверждающие обращение заявителя с требованием о восстановлении нарушенных прав, либо устранении допущенных нарушений (копия обращения с отметкой о вручении; почтовая квитанция о направлении обращения, если обращение направлялось почтой), в случае если ответ на обращение не был получен в течение 30 дней после даты обращения.</w:t>
      </w:r>
    </w:p>
    <w:p>
      <w:pPr>
        <w:pStyle w:val="style0"/>
        <w:tabs>
          <w:tab w:leader="none" w:pos="5595" w:val="left"/>
        </w:tabs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4. Ответ на обращение заявителя (если был дан ранее).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________________________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(подпись заявителя)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«____»_____________ ______года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bookmarkEnd w:id="0"/>
      <w:r>
        <w:rPr/>
      </w:r>
    </w:p>
    <w:sectPr>
      <w:type w:val="nextPage"/>
      <w:pgSz w:h="16838" w:w="11906"/>
      <w:pgMar w:bottom="568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2">
    <w:lvl w:ilvl="0">
      <w:start w:val="1"/>
      <w:numFmt w:val="decimal"/>
      <w:lvlText w:val="%1)"/>
      <w:lvlJc w:val="left"/>
      <w:pPr>
        <w:ind w:hanging="870" w:left="87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92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0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1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2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3">
    <w:lvl w:ilvl="0">
      <w:start w:val="1"/>
      <w:numFmt w:val="decimal"/>
      <w:lvlText w:val="%1)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4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hanging="360" w:left="149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z-Начало формы Знак"/>
    <w:basedOn w:val="style15"/>
    <w:next w:val="style16"/>
    <w:rPr>
      <w:rFonts w:ascii="Arial" w:cs="Arial" w:eastAsia="Times New Roman" w:hAnsi="Arial"/>
      <w:vanish/>
      <w:sz w:val="16"/>
      <w:szCs w:val="16"/>
      <w:lang w:eastAsia="ru-RU"/>
    </w:rPr>
  </w:style>
  <w:style w:styleId="style17" w:type="character">
    <w:name w:val="skype_pnh_container"/>
    <w:basedOn w:val="style15"/>
    <w:next w:val="style17"/>
    <w:rPr/>
  </w:style>
  <w:style w:styleId="style18" w:type="character">
    <w:name w:val="skype_pnh_text_span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Интернет-ссылка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z-Конец формы Знак"/>
    <w:basedOn w:val="style15"/>
    <w:next w:val="style21"/>
    <w:rPr>
      <w:rFonts w:ascii="Arial" w:cs="Arial" w:eastAsia="Times New Roman" w:hAnsi="Arial"/>
      <w:vanish/>
      <w:sz w:val="16"/>
      <w:szCs w:val="16"/>
      <w:lang w:eastAsia="ru-RU"/>
    </w:rPr>
  </w:style>
  <w:style w:styleId="style22" w:type="character">
    <w:name w:val="Текст выноски Знак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Название Знак"/>
    <w:basedOn w:val="style15"/>
    <w:next w:val="style23"/>
    <w:rPr>
      <w:rFonts w:ascii="Times New Roman" w:cs="Times New Roman" w:eastAsia="Times New Roman" w:hAnsi="Times New Roman"/>
      <w:b/>
      <w:sz w:val="32"/>
      <w:szCs w:val="24"/>
      <w:lang w:eastAsia="ru-RU"/>
    </w:rPr>
  </w:style>
  <w:style w:styleId="style24" w:type="character">
    <w:name w:val="Font Style46"/>
    <w:basedOn w:val="style15"/>
    <w:next w:val="style24"/>
    <w:rPr>
      <w:rFonts w:ascii="Times New Roman" w:cs="Times New Roman" w:hAnsi="Times New Roman"/>
      <w:sz w:val="22"/>
      <w:szCs w:val="22"/>
    </w:rPr>
  </w:style>
  <w:style w:styleId="style25" w:type="character">
    <w:name w:val="ListLabel 1"/>
    <w:next w:val="style25"/>
    <w:rPr>
      <w:color w:val="000000"/>
    </w:rPr>
  </w:style>
  <w:style w:styleId="style26" w:type="character">
    <w:name w:val="ListLabel 2"/>
    <w:next w:val="style26"/>
    <w:rPr>
      <w:color w:val="00000A"/>
    </w:rPr>
  </w:style>
  <w:style w:styleId="style27" w:type="character">
    <w:name w:val="ListLabel 3"/>
    <w:next w:val="style27"/>
    <w:rPr>
      <w:rFonts w:cs="Courier New"/>
    </w:rPr>
  </w:style>
  <w:style w:styleId="style28" w:type="character">
    <w:name w:val="ListLabel 4"/>
    <w:next w:val="style28"/>
    <w:rPr>
      <w:color w:val="000000"/>
    </w:rPr>
  </w:style>
  <w:style w:styleId="style29" w:type="character">
    <w:name w:val="ListLabel 5"/>
    <w:next w:val="style29"/>
    <w:rPr>
      <w:color w:val="00000A"/>
    </w:rPr>
  </w:style>
  <w:style w:styleId="style30" w:type="character">
    <w:name w:val="ListLabel 6"/>
    <w:next w:val="style30"/>
    <w:rPr>
      <w:rFonts w:cs="Symbol"/>
    </w:rPr>
  </w:style>
  <w:style w:styleId="style31" w:type="character">
    <w:name w:val="ListLabel 7"/>
    <w:next w:val="style31"/>
    <w:rPr>
      <w:rFonts w:cs="Courier New"/>
    </w:rPr>
  </w:style>
  <w:style w:styleId="style32" w:type="character">
    <w:name w:val="ListLabel 8"/>
    <w:next w:val="style32"/>
    <w:rPr>
      <w:rFonts w:cs="Wingdings"/>
    </w:rPr>
  </w:style>
  <w:style w:styleId="style33" w:type="character">
    <w:name w:val="ListLabel 9"/>
    <w:next w:val="style33"/>
    <w:rPr>
      <w:color w:val="000000"/>
    </w:rPr>
  </w:style>
  <w:style w:styleId="style34" w:type="character">
    <w:name w:val="ListLabel 10"/>
    <w:next w:val="style34"/>
    <w:rPr>
      <w:color w:val="00000A"/>
    </w:rPr>
  </w:style>
  <w:style w:styleId="style35" w:type="character">
    <w:name w:val="ListLabel 11"/>
    <w:next w:val="style35"/>
    <w:rPr>
      <w:rFonts w:cs="Symbol"/>
    </w:rPr>
  </w:style>
  <w:style w:styleId="style36" w:type="character">
    <w:name w:val="ListLabel 12"/>
    <w:next w:val="style36"/>
    <w:rPr>
      <w:rFonts w:cs="Courier New"/>
    </w:rPr>
  </w:style>
  <w:style w:styleId="style37" w:type="character">
    <w:name w:val="ListLabel 13"/>
    <w:next w:val="style37"/>
    <w:rPr>
      <w:rFonts w:cs="Wingdings"/>
    </w:rPr>
  </w:style>
  <w:style w:styleId="style38" w:type="character">
    <w:name w:val="ListLabel 14"/>
    <w:next w:val="style38"/>
    <w:rPr>
      <w:color w:val="000000"/>
    </w:rPr>
  </w:style>
  <w:style w:styleId="style39" w:type="character">
    <w:name w:val="ListLabel 15"/>
    <w:next w:val="style39"/>
    <w:rPr>
      <w:color w:val="00000A"/>
    </w:rPr>
  </w:style>
  <w:style w:styleId="style40" w:type="character">
    <w:name w:val="ListLabel 16"/>
    <w:next w:val="style40"/>
    <w:rPr>
      <w:rFonts w:cs="Symbol"/>
    </w:rPr>
  </w:style>
  <w:style w:styleId="style41" w:type="character">
    <w:name w:val="ListLabel 17"/>
    <w:next w:val="style41"/>
    <w:rPr>
      <w:rFonts w:cs="Courier New"/>
    </w:rPr>
  </w:style>
  <w:style w:styleId="style42" w:type="character">
    <w:name w:val="ListLabel 18"/>
    <w:next w:val="style42"/>
    <w:rPr>
      <w:rFonts w:cs="Wingdings"/>
    </w:rPr>
  </w:style>
  <w:style w:styleId="style43" w:type="character">
    <w:name w:val="ListLabel 19"/>
    <w:next w:val="style43"/>
    <w:rPr>
      <w:color w:val="000000"/>
    </w:rPr>
  </w:style>
  <w:style w:styleId="style44" w:type="character">
    <w:name w:val="ListLabel 20"/>
    <w:next w:val="style44"/>
    <w:rPr>
      <w:color w:val="00000A"/>
    </w:rPr>
  </w:style>
  <w:style w:styleId="style45" w:type="character">
    <w:name w:val="ListLabel 21"/>
    <w:next w:val="style45"/>
    <w:rPr>
      <w:rFonts w:cs="Symbol"/>
    </w:rPr>
  </w:style>
  <w:style w:styleId="style46" w:type="character">
    <w:name w:val="ListLabel 22"/>
    <w:next w:val="style46"/>
    <w:rPr>
      <w:rFonts w:cs="Courier New"/>
    </w:rPr>
  </w:style>
  <w:style w:styleId="style47" w:type="character">
    <w:name w:val="ListLabel 23"/>
    <w:next w:val="style47"/>
    <w:rPr>
      <w:rFonts w:cs="Wingdings"/>
    </w:rPr>
  </w:style>
  <w:style w:styleId="style48" w:type="character">
    <w:name w:val="ListLabel 24"/>
    <w:next w:val="style48"/>
    <w:rPr>
      <w:color w:val="000000"/>
    </w:rPr>
  </w:style>
  <w:style w:styleId="style49" w:type="character">
    <w:name w:val="ListLabel 25"/>
    <w:next w:val="style49"/>
    <w:rPr>
      <w:color w:val="00000A"/>
    </w:rPr>
  </w:style>
  <w:style w:styleId="style50" w:type="character">
    <w:name w:val="ListLabel 26"/>
    <w:next w:val="style50"/>
    <w:rPr>
      <w:rFonts w:cs="Symbol"/>
    </w:rPr>
  </w:style>
  <w:style w:styleId="style51" w:type="character">
    <w:name w:val="ListLabel 27"/>
    <w:next w:val="style51"/>
    <w:rPr>
      <w:rFonts w:cs="Courier New"/>
    </w:rPr>
  </w:style>
  <w:style w:styleId="style52" w:type="character">
    <w:name w:val="ListLabel 28"/>
    <w:next w:val="style52"/>
    <w:rPr>
      <w:rFonts w:cs="Wingdings"/>
    </w:rPr>
  </w:style>
  <w:style w:styleId="style53" w:type="paragraph">
    <w:name w:val="Заголовок"/>
    <w:basedOn w:val="style0"/>
    <w:next w:val="style5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4" w:type="paragraph">
    <w:name w:val="Основной текст"/>
    <w:basedOn w:val="style0"/>
    <w:next w:val="style54"/>
    <w:pPr>
      <w:spacing w:after="120" w:before="0"/>
      <w:contextualSpacing w:val="false"/>
    </w:pPr>
    <w:rPr/>
  </w:style>
  <w:style w:styleId="style55" w:type="paragraph">
    <w:name w:val="Список"/>
    <w:basedOn w:val="style54"/>
    <w:next w:val="style55"/>
    <w:pPr/>
    <w:rPr>
      <w:rFonts w:cs="Mangal"/>
    </w:rPr>
  </w:style>
  <w:style w:styleId="style56" w:type="paragraph">
    <w:name w:val="Название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7" w:type="paragraph">
    <w:name w:val="Указатель"/>
    <w:basedOn w:val="style0"/>
    <w:next w:val="style57"/>
    <w:pPr>
      <w:suppressLineNumbers/>
    </w:pPr>
    <w:rPr>
      <w:rFonts w:cs="Mangal"/>
    </w:rPr>
  </w:style>
  <w:style w:styleId="style58" w:type="paragraph">
    <w:name w:val="HTML Top of Form"/>
    <w:basedOn w:val="style0"/>
    <w:next w:val="style58"/>
    <w:pPr>
      <w:pBdr>
        <w:top w:val="none"/>
        <w:left w:val="none"/>
        <w:bottom w:color="00000A" w:space="0" w:sz="6" w:val="single"/>
        <w:insideH w:color="00000A" w:space="0" w:sz="6" w:val="single"/>
        <w:right w:val="none"/>
        <w:insideV w:val="none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</w:rPr>
  </w:style>
  <w:style w:styleId="style59" w:type="paragraph">
    <w:name w:val="a"/>
    <w:basedOn w:val="style0"/>
    <w:next w:val="style5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0" w:type="paragraph">
    <w:name w:val="consplusnormal"/>
    <w:basedOn w:val="style0"/>
    <w:next w:val="style6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1" w:type="paragraph">
    <w:name w:val="tekstob"/>
    <w:basedOn w:val="style0"/>
    <w:next w:val="style6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2" w:type="paragraph">
    <w:name w:val="default"/>
    <w:basedOn w:val="style0"/>
    <w:next w:val="style6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3" w:type="paragraph">
    <w:name w:val="consplusnonformat"/>
    <w:basedOn w:val="style0"/>
    <w:next w:val="style6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4" w:type="paragraph">
    <w:name w:val="HTML Bottom of Form"/>
    <w:basedOn w:val="style0"/>
    <w:next w:val="style64"/>
    <w:pPr>
      <w:pBdr>
        <w:top w:color="00000A" w:space="0" w:sz="6" w:val="single"/>
        <w:left w:val="none"/>
        <w:bottom w:val="none"/>
        <w:insideH w:val="none"/>
        <w:right w:val="none"/>
        <w:insideV w:val="none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</w:rPr>
  </w:style>
  <w:style w:styleId="style65" w:type="paragraph">
    <w:name w:val="List Paragraph"/>
    <w:basedOn w:val="style0"/>
    <w:next w:val="style65"/>
    <w:pPr>
      <w:spacing w:after="200" w:before="0"/>
      <w:ind w:hanging="0" w:left="720" w:right="0"/>
      <w:contextualSpacing/>
    </w:pPr>
    <w:rPr/>
  </w:style>
  <w:style w:styleId="style66" w:type="paragraph">
    <w:name w:val="ConsPlusNormal"/>
    <w:next w:val="style66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67" w:type="paragraph">
    <w:name w:val="No Spacing"/>
    <w:next w:val="style67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68" w:type="paragraph">
    <w:name w:val="Balloon Text"/>
    <w:basedOn w:val="style0"/>
    <w:next w:val="style6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69" w:type="paragraph">
    <w:name w:val="Заглавие"/>
    <w:basedOn w:val="style0"/>
    <w:next w:val="style69"/>
    <w:pPr>
      <w:spacing w:after="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sz w:val="32"/>
      <w:szCs w:val="24"/>
    </w:rPr>
  </w:style>
  <w:style w:styleId="style70" w:type="paragraph">
    <w:name w:val="Style3"/>
    <w:basedOn w:val="style0"/>
    <w:next w:val="style70"/>
    <w:pPr>
      <w:widowControl w:val="fals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71" w:type="paragraph">
    <w:name w:val="Содержимое врезки"/>
    <w:basedOn w:val="style54"/>
    <w:next w:val="style7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stpravo.ru/federalnoje/ew-postanovlenija/g2r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2012-10-23T12:00:00.00Z</dcterms:created>
  <dc:creator>admin</dc:creator>
  <cp:lastModifiedBy>Timur Rasulov</cp:lastModifiedBy>
  <cp:lastPrinted>2013-09-26T15:23:06.41Z</cp:lastPrinted>
  <dcterms:modified xsi:type="dcterms:W3CDTF">2012-10-23T12:00:00.00Z</dcterms:modified>
  <cp:revision>2</cp:revision>
</cp:coreProperties>
</file>