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проект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auto"/>
          <w:sz w:val="28"/>
          <w:szCs w:val="28"/>
        </w:rPr>
        <w:t>СОВЕТ КУРДЖИНОВСКОГО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с. Курджиново                                         №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 в решение Совета Курджиновского сельского  поселения от 20.11.2014 № 27 «Об установлении налога на имущество физических лиц на территории Курджиновского сельского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  <w:highlight w:val="red"/>
        </w:rPr>
      </w:pPr>
      <w:r>
        <w:rPr>
          <w:rFonts w:ascii="Times New Roman" w:hAnsi="Times New Roman"/>
          <w:color w:val="auto"/>
          <w:sz w:val="28"/>
          <w:szCs w:val="28"/>
          <w:highlight w:val="red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2">
        <w:r>
          <w:rPr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Курджиновского сельского поселения, Совет Курджиновского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1. Внести в решение Совета Курджиновского сельского  поселения от 20.11.2014 № 27 «Об установлении налога на имущество физических лиц на территории Курджиновского сельского поселения» (в редакции от 23.11.2015 № 36, от 23.12.2019 № 42) 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1.1. подпункт 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ункта 3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«3) 0,5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процента</w:t>
      </w:r>
      <w:r>
        <w:rPr>
          <w:rFonts w:ascii="Times New Roman" w:hAnsi="Times New Roman"/>
          <w:color w:val="auto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3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пунктом 7 статьи 378.2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Налогового кодекса Российской Федерации (далее – Налоговый кодекс),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0,5 процента</w:t>
      </w:r>
      <w:r>
        <w:rPr>
          <w:rFonts w:ascii="Times New Roman" w:hAnsi="Times New Roman"/>
          <w:color w:val="auto"/>
          <w:sz w:val="28"/>
          <w:szCs w:val="28"/>
        </w:rPr>
        <w:t xml:space="preserve"> в отношении объектов налогообложения, предусмотренных </w:t>
      </w:r>
      <w:hyperlink r:id="rId4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абзацем вторым пункта 10 статьи 378.2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Налогового кодекса,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2 процента</w:t>
      </w:r>
      <w:r>
        <w:rPr>
          <w:rFonts w:ascii="Times New Roman" w:hAnsi="Times New Roman"/>
          <w:color w:val="auto"/>
          <w:sz w:val="28"/>
          <w:szCs w:val="28"/>
        </w:rPr>
        <w:t xml:space="preserve">  в отношении объектов налогообложения, кадастровая стоимость каждого из которых превышает 300 миллионов рублей;»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опубликованию в газете «Новости Урупа».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Настоящее решение вступает в силу  со дня его официального опубликования(обнародования) в установленном порядке и  распространяется на правоотношения, возникшие с 01 января 2019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Курджиновского  сельского поселения  </w:t>
      </w:r>
    </w:p>
    <w:p>
      <w:pPr>
        <w:pStyle w:val="Style16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Урупского муниципального района</w:t>
      </w:r>
    </w:p>
    <w:p>
      <w:pPr>
        <w:pStyle w:val="Style16"/>
        <w:spacing w:lineRule="auto" w:line="240" w:before="0"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С.Я. Кузнецов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3c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hyperlink" Target="consultantplus://offline/ref=B7A1769E56CBD9E6CA28B3203F467A6C1D247F20A9CBA1216CF4432A4A25FA9B5F3F63FFB483F0WAO" TargetMode="External"/><Relationship Id="rId4" Type="http://schemas.openxmlformats.org/officeDocument/2006/relationships/hyperlink" Target="consultantplus://offline/ref=B7A1769E56CBD9E6CA28B3203F467A6C1D247F20A9CBA1216CF4432A4A25FA9B5F3F63FFB184F0W7O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LibreOffice/7.0.1.2$Windows_x86 LibreOffice_project/7cbcfc562f6eb6708b5ff7d7397325de9e764452</Application>
  <Pages>1</Pages>
  <Words>207</Words>
  <Characters>1474</Characters>
  <CharactersWithSpaces>1794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2019-12-25T08:07:00Z</dcterms:created>
  <dc:creator>User</dc:creator>
  <dc:description/>
  <dc:language>ru-RU</dc:language>
  <cp:lastModifiedBy/>
  <cp:lastPrinted>2020-11-25T10:43:53Z</cp:lastPrinted>
  <dcterms:modified xsi:type="dcterms:W3CDTF">2020-11-25T10:54:05Z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