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КАРАЧАЕВО-ЧЕРКЕССКАЯ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УРУПСКИЙ МУНИЦИПАЛЬНЫЙ РАЙОН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>АДМИНИСТРАЦИЯ КУРДЖИНОВСКОГО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6"/>
        </w:rPr>
        <w:t>24.03.2022</w:t>
      </w:r>
      <w:r>
        <w:rPr>
          <w:rFonts w:cs="Times New Roman" w:ascii="Times New Roman" w:hAnsi="Times New Roman"/>
          <w:sz w:val="28"/>
          <w:szCs w:val="26"/>
        </w:rPr>
        <w:t xml:space="preserve">                                  с.Курджиново                                            №</w:t>
      </w:r>
      <w:r>
        <w:rPr>
          <w:rFonts w:cs="Times New Roman" w:ascii="Times New Roman" w:hAnsi="Times New Roman"/>
          <w:sz w:val="28"/>
          <w:szCs w:val="26"/>
        </w:rPr>
        <w:t>27</w:t>
      </w:r>
    </w:p>
    <w:p>
      <w:pPr>
        <w:pStyle w:val="Normal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ind w:right="2758" w:hanging="0"/>
        <w:jc w:val="center"/>
        <w:rPr/>
      </w:pPr>
      <w:bookmarkStart w:id="0" w:name="__DdeLink__1489_1347976180"/>
      <w:bookmarkEnd w:id="0"/>
      <w:r>
        <w:rPr>
          <w:rFonts w:cs="Times New Roman" w:ascii="Times New Roman" w:hAnsi="Times New Roman"/>
          <w:sz w:val="28"/>
          <w:szCs w:val="26"/>
        </w:rPr>
        <w:t xml:space="preserve">                     </w:t>
      </w:r>
      <w:r>
        <w:rPr>
          <w:rFonts w:cs="Times New Roman" w:ascii="Times New Roman" w:hAnsi="Times New Roman"/>
          <w:sz w:val="28"/>
          <w:szCs w:val="26"/>
        </w:rPr>
        <w:t xml:space="preserve">Об утверждении муниципальной программы </w:t>
      </w:r>
    </w:p>
    <w:p>
      <w:pPr>
        <w:pStyle w:val="Normal"/>
        <w:ind w:right="2758" w:hanging="0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 xml:space="preserve">                    </w:t>
      </w:r>
      <w:r>
        <w:rPr>
          <w:rFonts w:cs="Times New Roman" w:ascii="Times New Roman" w:hAnsi="Times New Roman"/>
          <w:sz w:val="28"/>
          <w:szCs w:val="26"/>
        </w:rPr>
        <w:t xml:space="preserve">«Развитие культуры на территории  </w:t>
      </w:r>
    </w:p>
    <w:p>
      <w:pPr>
        <w:pStyle w:val="Normal"/>
        <w:ind w:right="2758" w:hanging="0"/>
        <w:jc w:val="center"/>
        <w:rPr/>
      </w:pPr>
      <w:r>
        <w:rPr>
          <w:rFonts w:cs="Times New Roman" w:ascii="Times New Roman" w:hAnsi="Times New Roman"/>
          <w:sz w:val="28"/>
          <w:szCs w:val="26"/>
        </w:rPr>
        <w:t xml:space="preserve">                  </w:t>
      </w:r>
      <w:r>
        <w:rPr>
          <w:rFonts w:cs="Times New Roman" w:ascii="Times New Roman" w:hAnsi="Times New Roman"/>
          <w:sz w:val="28"/>
          <w:szCs w:val="26"/>
        </w:rPr>
        <w:t>Курджиновского сельского поселения на 2022-2024 годы»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__DdeLink__1489_13479761801"/>
      <w:bookmarkStart w:id="2" w:name="__DdeLink__1489_13479761801"/>
      <w:bookmarkEnd w:id="2"/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6"/>
        </w:rPr>
        <w:tab/>
      </w:r>
      <w:r>
        <w:rPr>
          <w:rFonts w:cs="Times New Roman" w:ascii="Times New Roman" w:hAnsi="Times New Roman"/>
          <w:sz w:val="28"/>
          <w:szCs w:val="26"/>
        </w:rPr>
        <w:t>В соответствии со ст.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Курджиновского сельского  поселения от  21.09.2016  № 95 «Об утверждении Положения о порядке разработки муниципальных целевых программ Курджиновского сельского поселения»,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6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>1. Утвердить муниципальную программу «Развитие культуры на территории Курджиновского сельского поселения на 2022-2024 годы», согласно приложению.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>2. Администрации Курджиновского сельского поселения осуществлять расходы на реализацию муниципальной программы «Развитие культуры на территории Курджиновского сельского поселения на 2022 - 2024 годы» в пределах средств, предусмотренных в бюджете поселения на соответствующие годы.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  <w:t xml:space="preserve">3. Настоящее постановление вступает в силу со дня его официального опубликования (обнародования) в установленном порядке.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Глава администрации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Курджиновского сельского поселения                                              Г.В.Приходько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27"/>
        <w:spacing w:lineRule="auto" w:line="240" w:before="0" w:after="0"/>
        <w:ind w:right="0" w:hanging="0"/>
        <w:jc w:val="lef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Style27"/>
        <w:spacing w:lineRule="auto" w:line="240" w:before="0" w:after="0"/>
        <w:ind w:left="453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</w:t>
      </w:r>
    </w:p>
    <w:p>
      <w:pPr>
        <w:pStyle w:val="Style27"/>
        <w:spacing w:lineRule="auto" w:line="240" w:before="0" w:after="0"/>
        <w:ind w:left="4536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Курджиновского сельского поселения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24.03.</w:t>
      </w:r>
      <w:r>
        <w:rPr>
          <w:rFonts w:ascii="Times New Roman" w:hAnsi="Times New Roman"/>
          <w:sz w:val="28"/>
          <w:szCs w:val="28"/>
        </w:rPr>
        <w:t xml:space="preserve">2022 г  № </w:t>
      </w:r>
      <w:r>
        <w:rPr>
          <w:rFonts w:ascii="Times New Roman" w:hAnsi="Times New Roman"/>
          <w:sz w:val="28"/>
          <w:szCs w:val="28"/>
        </w:rPr>
        <w:t>27</w:t>
      </w:r>
    </w:p>
    <w:p>
      <w:pPr>
        <w:pStyle w:val="Style27"/>
        <w:spacing w:lineRule="auto" w:line="240" w:before="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«Развитие культуры на территории  Курджиновского сельского поселения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2022 - 2024 годы»</w:t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ПАСПОРТ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«Развитие культуры на территории Курджиновского сельского поселения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2022 - 2024 годы»</w:t>
      </w:r>
    </w:p>
    <w:p>
      <w:pPr>
        <w:pStyle w:val="Normal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75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5"/>
        <w:gridCol w:w="2356"/>
        <w:gridCol w:w="1700"/>
        <w:gridCol w:w="1988"/>
      </w:tblGrid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Курджиновского сельского поселения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развитие культуры на территории Курджиновского сельского поселения;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оздание условий для развития культурно-досуговой деятельности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средствами культуры и искусства нравственных и духовных ценностей,      направленных на воспитание у населения чувства гражданственности и патриотизма;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сохранение культурного наследия и развитие творческого потенциала населения Курджиновского сельского поселения;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содействия активному участию населения в жизни Курджиновского сельского поселения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Задачи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сохранение, пополнение и использование культурного наследия;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обеспечение равного доступа населения к  участию в культурной жизни поселения;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развитие и реализация культурного и духовного потенциала каждой личности,  воспитания у детей любви к искусству;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- поддержка любительского   художественного  творчества, самодеятельной творческой инициативы населения, организация его досуга и отдыха; - выявление одаренных детей в области культуры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Целевые индикаторы и     показатели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both"/>
              <w:rPr/>
            </w:pPr>
            <w:r>
              <w:rPr>
                <w:sz w:val="28"/>
                <w:szCs w:val="28"/>
              </w:rPr>
              <w:t>- количество участников и зрителей в культурно-массовых мероприятиях  Курджиновского сельского поселения;</w:t>
            </w:r>
          </w:p>
          <w:p>
            <w:pPr>
              <w:pStyle w:val="Nospacing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культурно-массовых мероприятий;</w:t>
            </w:r>
          </w:p>
          <w:p>
            <w:pPr>
              <w:pStyle w:val="Nospacing1"/>
              <w:shd w:val="clear" w:color="auto" w:fill="FFFFFF"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конкурсов, фестивалей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2022 - 2024 годы</w:t>
            </w:r>
          </w:p>
        </w:tc>
      </w:tr>
      <w:tr>
        <w:trPr>
          <w:trHeight w:val="1810" w:hRule="atLeast"/>
        </w:trPr>
        <w:tc>
          <w:tcPr>
            <w:tcW w:w="3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1"/>
              <w:shd w:val="clear" w:color="auto" w:fill="FFFFFF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 xml:space="preserve">    </w:t>
            </w:r>
            <w:r>
              <w:rPr>
                <w:rStyle w:val="Strong"/>
                <w:b w:val="false"/>
                <w:sz w:val="28"/>
                <w:szCs w:val="28"/>
              </w:rPr>
              <w:t>Всего</w:t>
            </w:r>
          </w:p>
          <w:p>
            <w:pPr>
              <w:pStyle w:val="Nospacing1"/>
              <w:shd w:val="clear" w:color="auto" w:fill="FFFFFF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 xml:space="preserve">  </w:t>
            </w:r>
            <w:r>
              <w:rPr>
                <w:rStyle w:val="Strong"/>
                <w:b w:val="false"/>
                <w:sz w:val="28"/>
                <w:szCs w:val="28"/>
              </w:rPr>
              <w:t>(тыс. руб.)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300,0</w:t>
            </w:r>
          </w:p>
        </w:tc>
      </w:tr>
      <w:tr>
        <w:trPr>
          <w:trHeight w:val="561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Средства бюджета  Курджиновского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569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563" w:hRule="atLeast"/>
        </w:trPr>
        <w:tc>
          <w:tcPr>
            <w:tcW w:w="3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Расширение возможности для приобщения граждан к культурным ценностям и культурным благам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Возрождение и сохранение духовных традиций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Воспитание уважения у подрастающего      поколения к истории и культурным традициям родного края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Развитие творческих способностей у детей и молодежи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1"/>
        </w:numPr>
        <w:ind w:left="2835" w:hanging="425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Содержание проблемы и обоснование </w:t>
      </w:r>
    </w:p>
    <w:p>
      <w:pPr>
        <w:pStyle w:val="Normal"/>
        <w:ind w:left="241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ее решения программными методами</w:t>
      </w:r>
    </w:p>
    <w:p>
      <w:pPr>
        <w:pStyle w:val="Normal"/>
        <w:ind w:left="241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2410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Понятие муниципальной программы «Развитие культуры на территории Курджиновского сельского поселения на 2022 - 2024 годы» (далее – Программа) вызвано необходимостью реализации государственной политики в области культуры. В связи с разграничением полномочий между органами государственной власти и органами местного самоуправления, между органами местного самоуправления районов и поселений Программой предполагается объединение усилий и аккумуляция средств для совместного решения наиболее актуальных проблем Курджиновского сельского поселения в области культуры.</w:t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условиях ограниченных финансовых ресурсов программой предусмотрено решение только приоритетных задач, финансирование которых возможно из средств бюджета администрации Курджиновского сельского поселения.</w:t>
      </w:r>
    </w:p>
    <w:p>
      <w:pPr>
        <w:pStyle w:val="Normal"/>
        <w:ind w:firstLine="6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Курджиновском сельском поселении имеется 2 сельских Дома Культуры и 6 сельских муниципальных библиотек, обслуживающих всё население сельского поселения.</w:t>
      </w:r>
    </w:p>
    <w:p>
      <w:pPr>
        <w:pStyle w:val="Normal"/>
        <w:ind w:firstLine="670"/>
        <w:jc w:val="both"/>
        <w:rPr>
          <w:rFonts w:ascii="Times New Roman" w:hAnsi="Times New Roman" w:cs="Times New Roman"/>
          <w:sz w:val="28"/>
          <w:szCs w:val="8"/>
        </w:rPr>
      </w:pPr>
      <w:r>
        <w:rPr>
          <w:rFonts w:cs="Times New Roman" w:ascii="Times New Roman" w:hAnsi="Times New Roman"/>
          <w:sz w:val="28"/>
          <w:szCs w:val="8"/>
        </w:rPr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Основные цели и задачи Программы</w:t>
      </w:r>
    </w:p>
    <w:p>
      <w:pPr>
        <w:pStyle w:val="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90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Основными целями реализации Программы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культуры на территории Курджиновского сельского поселения;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оздание условий для развития культурно-досуговой деятельности </w:t>
      </w:r>
      <w:r>
        <w:rPr>
          <w:rFonts w:cs="Times New Roman" w:ascii="Times New Roman" w:hAnsi="Times New Roman"/>
          <w:sz w:val="28"/>
          <w:szCs w:val="28"/>
        </w:rPr>
        <w:t>населения;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средствами культуры и искусства нравственных и духовных ценностей, направленных на воспитание у населения чувства гражданственности и патриотизма;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сохранение культурного наследия и развитие творческого потенциала населения Курджиновского сельского поселения;</w:t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содействия активному участию населения в жизни Курджиновского сельского   поселения. </w:t>
      </w:r>
    </w:p>
    <w:p>
      <w:pPr>
        <w:pStyle w:val="Normal"/>
        <w:tabs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Для достижения данных целей необходимо решить следующие задачи: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сохранение, пополнение и использование культурного наследия;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обеспечение равного доступа населения к  участию в культурной жизни поселения;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развитие и реализация культурного и духовного потенциала каждой личности,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воспитания у детей любви к искусству;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поддержка любительского   художественного  творчества, самодеятельной творческой инициативы населения, организация его досуга и отдыха; </w:t>
      </w:r>
    </w:p>
    <w:p>
      <w:pPr>
        <w:pStyle w:val="Normal"/>
        <w:tabs>
          <w:tab w:val="left" w:pos="108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выявление одаренных детей в области культуры;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обеспечение доступности культурных благ для большинства населения Курджиновского сельского поселения;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-оформление помещений для культурного досуга материально-техническими ценностями;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условий для духовно-нравственного, гражданского и патриотического воспитания подрастающего поколения;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возрождения и сохранения народных традиций путем воспитания интереса и приобщения к художественному творчеству;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участие творческих коллективов Курджиновского сельского поселения в поселковых, районных, областных фестивалях и конкурсах;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поддержка творчества одаренных детей, оценка их высоких результатов в области культуры и  искусства;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-поздравление с профессиональным праздником (медицинского работника, учителей, участковых);</w:t>
      </w:r>
    </w:p>
    <w:p>
      <w:pPr>
        <w:pStyle w:val="Normal"/>
        <w:tabs>
          <w:tab w:val="left" w:pos="-67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-престольного дня.</w:t>
      </w:r>
    </w:p>
    <w:p>
      <w:pPr>
        <w:pStyle w:val="Normal"/>
        <w:tabs>
          <w:tab w:val="left" w:pos="-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  <w:tab w:val="left" w:pos="3270" w:leader="none"/>
        </w:tabs>
        <w:spacing w:lineRule="auto" w:line="360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>. Сроки и этапы реализации Программы</w:t>
      </w:r>
    </w:p>
    <w:p>
      <w:pPr>
        <w:pStyle w:val="Normal"/>
        <w:tabs>
          <w:tab w:val="left" w:pos="-360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Срок выполнения мероприятий Программы – 2022-2024 годы, без выделения этапов.</w:t>
      </w:r>
    </w:p>
    <w:p>
      <w:pPr>
        <w:pStyle w:val="Normal"/>
        <w:tabs>
          <w:tab w:val="left" w:pos="-3600" w:leader="none"/>
        </w:tabs>
        <w:ind w:firstLine="67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Система мероприятий Программы</w:t>
      </w:r>
    </w:p>
    <w:p>
      <w:pPr>
        <w:pStyle w:val="Normal"/>
        <w:tabs>
          <w:tab w:val="left" w:pos="-3600" w:leader="none"/>
        </w:tabs>
        <w:ind w:firstLine="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сфере культуры Курджиновского сельского поселения система программных мероприятий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(приложение к настоящей Программе)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себя:</w:t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организацию и проведение праздничных мероприятий и торжественных приемов Главы Курджиновского сельского поселения в связи с празднованием знаменательных дат и мероприятий в границах Курджиновского сельского поселения;</w:t>
      </w:r>
    </w:p>
    <w:p>
      <w:pPr>
        <w:pStyle w:val="Normal"/>
        <w:tabs>
          <w:tab w:val="left" w:pos="-360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фестивального творчества в границах Курджиновского сельского поселения;</w:t>
      </w:r>
    </w:p>
    <w:p>
      <w:pPr>
        <w:pStyle w:val="Normal"/>
        <w:tabs>
          <w:tab w:val="left" w:pos="-36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поддержка творчества одаренных детей, оценка их высоких достижений в   области культуры и искусства.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</w:r>
    </w:p>
    <w:p>
      <w:pPr>
        <w:pStyle w:val="Normal"/>
        <w:tabs>
          <w:tab w:val="left" w:pos="-3600" w:leader="none"/>
        </w:tabs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tabs>
          <w:tab w:val="left" w:pos="-3600" w:leader="none"/>
          <w:tab w:val="left" w:pos="1080" w:leader="none"/>
        </w:tabs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. Ресурсное обеспечение Программы</w:t>
      </w:r>
    </w:p>
    <w:p>
      <w:pPr>
        <w:pStyle w:val="Normal"/>
        <w:tabs>
          <w:tab w:val="left" w:pos="-3600" w:leader="none"/>
          <w:tab w:val="left" w:pos="1080" w:leader="none"/>
        </w:tabs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реализации первоочередных мероприятий Программы на 2022 - 2024 годы  потребуется 300,0 тысяч рублей из бюджета администрации Курджиновского сельского поселения.</w:t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tbl>
      <w:tblPr>
        <w:tblW w:w="1003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8"/>
        <w:gridCol w:w="2757"/>
        <w:gridCol w:w="1410"/>
        <w:gridCol w:w="2159"/>
      </w:tblGrid>
      <w:tr>
        <w:trPr>
          <w:trHeight w:val="1650" w:hRule="atLeast"/>
        </w:trPr>
        <w:tc>
          <w:tcPr>
            <w:tcW w:w="3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1"/>
              <w:shd w:val="clear" w:color="auto" w:fill="FFFFFF"/>
              <w:spacing w:before="280"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1"/>
              <w:shd w:val="clear" w:color="auto" w:fill="FFFFFF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>Всего</w:t>
            </w:r>
          </w:p>
          <w:p>
            <w:pPr>
              <w:pStyle w:val="Nospacing1"/>
              <w:shd w:val="clear" w:color="auto" w:fill="FFFFFF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>(тыс. руб.)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3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300,0</w:t>
            </w:r>
          </w:p>
        </w:tc>
      </w:tr>
      <w:tr>
        <w:trPr>
          <w:trHeight w:val="613" w:hRule="atLeast"/>
        </w:trPr>
        <w:tc>
          <w:tcPr>
            <w:tcW w:w="3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Средства бюджета  Курджиновского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СП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703" w:hRule="atLeast"/>
        </w:trPr>
        <w:tc>
          <w:tcPr>
            <w:tcW w:w="3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512" w:hRule="atLeast"/>
        </w:trPr>
        <w:tc>
          <w:tcPr>
            <w:tcW w:w="3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</w:tbl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tabs>
          <w:tab w:val="left" w:pos="-3600" w:leader="none"/>
          <w:tab w:val="left" w:pos="1080" w:leader="none"/>
        </w:tabs>
        <w:ind w:firstLine="54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Мероприятия Программы подлежат уточнению по объему финансирования, предусмотренного в бюджете администрации Курджиновского сельского поселения на соответствующий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>. Организация управления и механизм реализации Программы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Организацию управления и контроль над реализацией Программы осуществляет  администрация Курджиновского сельского поселения путем: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реализации мероприятий, входящих в состав муниципальной программы;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сбор, обобщение и анализ отчетных материалов;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мониторинга и анализ реализации программы, а также проведение оценки ее эффективности.</w:t>
      </w:r>
    </w:p>
    <w:p>
      <w:pPr>
        <w:pStyle w:val="Normal"/>
        <w:spacing w:lineRule="auto" w:line="276"/>
        <w:ind w:firstLine="54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мероприятий Программы  осуществляется в  пределах  и объемах, предусмотренных бюджетом поселения. Администрация Курджиновского сельского поселения осуществляет координацию основных направлений работы в соответствии с мероприятиями Программы.</w:t>
      </w:r>
    </w:p>
    <w:p>
      <w:pPr>
        <w:pStyle w:val="Normal"/>
        <w:spacing w:lineRule="auto" w:line="276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>. Ожидаемые результаты реализации Программы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Расширение возможности для приобщения граждан к культурным ценностям и культурным благам.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Возрождение и сохранение духовных традиций.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Воспитание уважения у подрастающего поколения к истории и культурным традициям родного края.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Развитие творческих способностей у детей и молодежи.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</w:rPr>
        <w:t>. Финансово-экономическое обоснование Программы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Финансирование мероприятий осуществляется за счет средств  бюджета Курджиновского сельского поселения. Объемы финансовых ресурсов Программы заложены с учетом анализа финансирования мероприятий прошлых лет.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на 2022 - 2024 годы составляет  300,0 тысяч рублей.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36" w:hanging="0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Normal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муниципальной Программе</w:t>
      </w:r>
    </w:p>
    <w:p>
      <w:pPr>
        <w:pStyle w:val="Normal"/>
        <w:ind w:left="4536" w:hanging="0"/>
        <w:rPr/>
      </w:pPr>
      <w:r>
        <w:rPr>
          <w:rFonts w:cs="Times New Roman" w:ascii="Times New Roman" w:hAnsi="Times New Roman"/>
          <w:bCs/>
          <w:sz w:val="24"/>
          <w:szCs w:val="24"/>
        </w:rPr>
        <w:t>«Развитие культуры в Курджиновском сельском поселении на 2022-2024 годы»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План мероприятий муниципальной Программы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«Развитие культуры в  Курджиновском сельском поселении на 2022-2024 годы»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4"/>
        <w:gridCol w:w="3006"/>
        <w:gridCol w:w="1875"/>
        <w:gridCol w:w="1020"/>
        <w:gridCol w:w="1125"/>
        <w:gridCol w:w="1140"/>
        <w:gridCol w:w="908"/>
      </w:tblGrid>
      <w:tr>
        <w:trPr>
          <w:trHeight w:val="285" w:hRule="atLeast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1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Объём финансирования по годам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55" w:hRule="atLeast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призов, подарков, угощения для проведения культурно-массовых мероприятий(поздравление участников ВОВ, участников боевых действий, учителей, медицинских работников, участковых, ) (в том числе награждение ценными подарками граждан поселка в связи с юбилейными датами в соответствии с Положением), приобретение подарков при проведении «Елки желаний».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материально- технических ценностей для оформления помещений.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                           Курджиновского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240,0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престольного дня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                           Курджиновского сельского поселения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мероприятий, направленных на распространение знаний об истории и культуре коренного населения  Курджиновского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библиотеки Курджиновского сельского поселения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соответствии с утвержденным планом)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ирова-ние не требу-ется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300,0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67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2230a0"/>
    <w:pPr>
      <w:widowControl w:val="false"/>
      <w:spacing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7b7738"/>
    <w:rPr>
      <w:color w:val="106BB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2230a0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FontStyle50" w:customStyle="1">
    <w:name w:val="Font Style50"/>
    <w:qFormat/>
    <w:rsid w:val="004b21c5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64533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c21010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c21010"/>
    <w:rPr/>
  </w:style>
  <w:style w:type="character" w:styleId="Strong">
    <w:name w:val="Strong"/>
    <w:basedOn w:val="DefaultParagraphFont"/>
    <w:uiPriority w:val="22"/>
    <w:qFormat/>
    <w:rsid w:val="00c21010"/>
    <w:rPr>
      <w:b/>
      <w:bCs/>
    </w:rPr>
  </w:style>
  <w:style w:type="character" w:styleId="ListLabel1">
    <w:name w:val="ListLabel 1"/>
    <w:qFormat/>
    <w:rPr>
      <w:color w:val="002339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77e03"/>
    <w:pPr>
      <w:widowControl/>
      <w:bidi w:val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paragraph" w:styleId="Style22" w:customStyle="1">
    <w:name w:val="Нормальный (таблица)"/>
    <w:basedOn w:val="Normal"/>
    <w:uiPriority w:val="99"/>
    <w:qFormat/>
    <w:rsid w:val="002230a0"/>
    <w:pPr>
      <w:widowControl w:val="false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3" w:customStyle="1">
    <w:name w:val="Прижатый влево"/>
    <w:basedOn w:val="Normal"/>
    <w:uiPriority w:val="99"/>
    <w:qFormat/>
    <w:rsid w:val="002230a0"/>
    <w:pPr>
      <w:widowControl w:val="false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4" w:customStyle="1">
    <w:name w:val="Style2"/>
    <w:basedOn w:val="Normal"/>
    <w:qFormat/>
    <w:rsid w:val="004b21c5"/>
    <w:pPr>
      <w:widowControl w:val="false"/>
      <w:spacing w:lineRule="exact" w:line="214"/>
      <w:ind w:firstLine="47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632bab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87a6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45333"/>
    <w:pPr/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b"/>
    <w:uiPriority w:val="99"/>
    <w:semiHidden/>
    <w:unhideWhenUsed/>
    <w:rsid w:val="00c21010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d"/>
    <w:uiPriority w:val="99"/>
    <w:semiHidden/>
    <w:unhideWhenUsed/>
    <w:rsid w:val="00c21010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2101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61" w:customStyle="1">
    <w:name w:val="Style6"/>
    <w:basedOn w:val="Normal"/>
    <w:uiPriority w:val="99"/>
    <w:qFormat/>
    <w:rsid w:val="00c21010"/>
    <w:pPr>
      <w:widowControl w:val="false"/>
      <w:spacing w:lineRule="exact" w:line="321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Заголовок документа"/>
    <w:basedOn w:val="Normal"/>
    <w:qFormat/>
    <w:rsid w:val="005d5de3"/>
    <w:pPr>
      <w:spacing w:lineRule="auto" w:line="360" w:before="240" w:after="0"/>
      <w:ind w:right="5385" w:hanging="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Nospacing1" w:customStyle="1">
    <w:name w:val="nospacing"/>
    <w:basedOn w:val="Normal"/>
    <w:qFormat/>
    <w:rsid w:val="005d5de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5d5de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B12-575A-4991-A4EC-2A106AA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LibreOffice/5.2.3.3$Windows_x86 LibreOffice_project/d54a8868f08a7b39642414cf2c8ef2f228f780cf</Application>
  <Pages>8</Pages>
  <Words>1231</Words>
  <Characters>9382</Characters>
  <CharactersWithSpaces>11192</CharactersWithSpaces>
  <Paragraphs>175</Paragraphs>
  <Company>ЦБ КГП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2017-12-27T12:46:00Z</dcterms:created>
  <dc:creator>Спесивцева Ольга Петровна</dc:creator>
  <dc:description/>
  <dc:language>ru-RU</dc:language>
  <cp:lastModifiedBy/>
  <cp:lastPrinted>2022-03-30T10:40:54Z</cp:lastPrinted>
  <dcterms:modified xsi:type="dcterms:W3CDTF">2022-03-30T10:42:44Z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